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59557" w14:textId="0D41E5B6" w:rsidR="00D55AB1" w:rsidRDefault="00D55AB1" w:rsidP="005A2F78">
      <w:pPr>
        <w:pStyle w:val="Title"/>
        <w:rPr>
          <w:rFonts w:ascii="Arial" w:hAnsi="Arial" w:cs="Arial"/>
          <w:sz w:val="44"/>
          <w:szCs w:val="44"/>
        </w:rPr>
      </w:pPr>
      <w:r>
        <w:rPr>
          <w:rFonts w:ascii="Palatino Linotype" w:hAnsi="Palatino Linotype" w:cs="Arial"/>
          <w:noProof/>
          <w:sz w:val="20"/>
          <w:szCs w:val="20"/>
          <w:lang w:val="en-US"/>
        </w:rPr>
        <w:drawing>
          <wp:anchor distT="0" distB="0" distL="114300" distR="114300" simplePos="0" relativeHeight="251658240" behindDoc="0" locked="0" layoutInCell="1" allowOverlap="1" wp14:anchorId="71E29EBC" wp14:editId="38D1097B">
            <wp:simplePos x="0" y="0"/>
            <wp:positionH relativeFrom="column">
              <wp:posOffset>3741420</wp:posOffset>
            </wp:positionH>
            <wp:positionV relativeFrom="paragraph">
              <wp:posOffset>-172085</wp:posOffset>
            </wp:positionV>
            <wp:extent cx="1866900" cy="746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illup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6900" cy="7467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44"/>
          <w:szCs w:val="44"/>
          <w:lang w:val="en-US"/>
        </w:rPr>
        <w:drawing>
          <wp:anchor distT="0" distB="0" distL="114300" distR="114300" simplePos="0" relativeHeight="251660288" behindDoc="1" locked="0" layoutInCell="1" allowOverlap="1" wp14:anchorId="42E5997F" wp14:editId="1F5B2BA1">
            <wp:simplePos x="0" y="0"/>
            <wp:positionH relativeFrom="margin">
              <wp:posOffset>472440</wp:posOffset>
            </wp:positionH>
            <wp:positionV relativeFrom="paragraph">
              <wp:posOffset>0</wp:posOffset>
            </wp:positionV>
            <wp:extent cx="2066988" cy="467360"/>
            <wp:effectExtent l="0" t="0" r="9525" b="8890"/>
            <wp:wrapThrough wrapText="bothSides">
              <wp:wrapPolygon edited="0">
                <wp:start x="0" y="0"/>
                <wp:lineTo x="0" y="21130"/>
                <wp:lineTo x="21500" y="21130"/>
                <wp:lineTo x="215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A_Logo_Vertical_OfficialBlue_noreflec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6988" cy="467360"/>
                    </a:xfrm>
                    <a:prstGeom prst="rect">
                      <a:avLst/>
                    </a:prstGeom>
                  </pic:spPr>
                </pic:pic>
              </a:graphicData>
            </a:graphic>
            <wp14:sizeRelH relativeFrom="margin">
              <wp14:pctWidth>0</wp14:pctWidth>
            </wp14:sizeRelH>
            <wp14:sizeRelV relativeFrom="margin">
              <wp14:pctHeight>0</wp14:pctHeight>
            </wp14:sizeRelV>
          </wp:anchor>
        </w:drawing>
      </w:r>
      <w:r>
        <w:rPr>
          <w:rFonts w:ascii="Palatino Linotype" w:hAnsi="Palatino Linotype" w:cs="Arial"/>
          <w:noProof/>
          <w:sz w:val="20"/>
          <w:szCs w:val="20"/>
        </w:rPr>
        <w:t xml:space="preserve"> </w:t>
      </w:r>
    </w:p>
    <w:p w14:paraId="248DEE98" w14:textId="51CA70C7" w:rsidR="00B86B7A" w:rsidRDefault="00B86B7A" w:rsidP="005A2F78">
      <w:pPr>
        <w:pStyle w:val="Title"/>
        <w:rPr>
          <w:rFonts w:ascii="Arial" w:hAnsi="Arial" w:cs="Arial"/>
          <w:sz w:val="44"/>
          <w:szCs w:val="44"/>
        </w:rPr>
      </w:pPr>
    </w:p>
    <w:p w14:paraId="5D9CBF8A" w14:textId="77777777" w:rsidR="00B86B7A" w:rsidRPr="00B86B7A" w:rsidRDefault="00B86B7A" w:rsidP="00B86B7A"/>
    <w:p w14:paraId="29D2ABE4" w14:textId="77777777" w:rsidR="00B86B7A" w:rsidRPr="00D33648" w:rsidRDefault="00B86B7A" w:rsidP="00B86B7A">
      <w:pPr>
        <w:rPr>
          <w:b/>
          <w:sz w:val="28"/>
          <w:szCs w:val="28"/>
        </w:rPr>
      </w:pPr>
    </w:p>
    <w:p w14:paraId="66388E4C" w14:textId="5B466D28" w:rsidR="00B86B7A" w:rsidRPr="00D33648" w:rsidRDefault="00C5738B" w:rsidP="0026281B">
      <w:pPr>
        <w:jc w:val="center"/>
        <w:rPr>
          <w:rFonts w:ascii="Palatino Linotype" w:hAnsi="Palatino Linotype"/>
          <w:b/>
          <w:sz w:val="28"/>
          <w:szCs w:val="28"/>
        </w:rPr>
      </w:pPr>
      <w:proofErr w:type="spellStart"/>
      <w:r w:rsidRPr="00D33648">
        <w:rPr>
          <w:rFonts w:ascii="Palatino Linotype" w:hAnsi="Palatino Linotype"/>
          <w:b/>
          <w:sz w:val="28"/>
          <w:szCs w:val="28"/>
        </w:rPr>
        <w:t>SkillUP</w:t>
      </w:r>
      <w:proofErr w:type="spellEnd"/>
      <w:r w:rsidRPr="00D33648">
        <w:rPr>
          <w:rFonts w:ascii="Palatino Linotype" w:hAnsi="Palatino Linotype"/>
          <w:b/>
          <w:sz w:val="28"/>
          <w:szCs w:val="28"/>
        </w:rPr>
        <w:t xml:space="preserve"> List of Frequently Asked Questions</w:t>
      </w:r>
    </w:p>
    <w:p w14:paraId="37D6768B" w14:textId="22D4152F" w:rsidR="0026281B" w:rsidRPr="00D33648" w:rsidRDefault="0026281B" w:rsidP="0026281B">
      <w:pPr>
        <w:jc w:val="center"/>
        <w:rPr>
          <w:rFonts w:ascii="Palatino Linotype" w:hAnsi="Palatino Linotype"/>
          <w:b/>
          <w:sz w:val="28"/>
          <w:szCs w:val="28"/>
        </w:rPr>
      </w:pPr>
      <w:r w:rsidRPr="00D33648">
        <w:rPr>
          <w:rFonts w:ascii="Palatino Linotype" w:hAnsi="Palatino Linotype"/>
          <w:b/>
          <w:sz w:val="28"/>
          <w:szCs w:val="28"/>
        </w:rPr>
        <w:t>Fiscal</w:t>
      </w:r>
      <w:bookmarkStart w:id="0" w:name="_GoBack"/>
      <w:bookmarkEnd w:id="0"/>
    </w:p>
    <w:p w14:paraId="51C9E0A1" w14:textId="48BB68DD" w:rsidR="00C5738B" w:rsidRPr="002878A4" w:rsidRDefault="00C5738B" w:rsidP="00B86B7A">
      <w:pPr>
        <w:rPr>
          <w:rFonts w:ascii="Palatino Linotype" w:hAnsi="Palatino Linotype"/>
          <w:sz w:val="22"/>
          <w:szCs w:val="22"/>
        </w:rPr>
      </w:pPr>
    </w:p>
    <w:p w14:paraId="58B2C119" w14:textId="22A76CA1" w:rsidR="00C5738B" w:rsidRPr="002878A4" w:rsidRDefault="0026281B" w:rsidP="00B86B7A">
      <w:pPr>
        <w:rPr>
          <w:rFonts w:ascii="Palatino Linotype" w:hAnsi="Palatino Linotype"/>
          <w:sz w:val="22"/>
          <w:szCs w:val="22"/>
        </w:rPr>
      </w:pPr>
      <w:r w:rsidRPr="002878A4">
        <w:rPr>
          <w:rFonts w:ascii="Palatino Linotype" w:hAnsi="Palatino Linotype"/>
          <w:sz w:val="22"/>
          <w:szCs w:val="22"/>
        </w:rPr>
        <w:t xml:space="preserve">This FAQ provides a learning resource for </w:t>
      </w:r>
      <w:proofErr w:type="spellStart"/>
      <w:r w:rsidRPr="002878A4">
        <w:rPr>
          <w:rFonts w:ascii="Palatino Linotype" w:hAnsi="Palatino Linotype"/>
          <w:sz w:val="22"/>
          <w:szCs w:val="22"/>
        </w:rPr>
        <w:t>SkillUP</w:t>
      </w:r>
      <w:proofErr w:type="spellEnd"/>
      <w:r w:rsidRPr="002878A4">
        <w:rPr>
          <w:rFonts w:ascii="Palatino Linotype" w:hAnsi="Palatino Linotype"/>
          <w:sz w:val="22"/>
          <w:szCs w:val="22"/>
        </w:rPr>
        <w:t xml:space="preserve"> practitioners.  If you have a question which is not covered in this document, please contact Ramona Mundwiller (</w:t>
      </w:r>
      <w:hyperlink r:id="rId9" w:history="1">
        <w:r w:rsidRPr="002878A4">
          <w:rPr>
            <w:rStyle w:val="Hyperlink"/>
            <w:rFonts w:ascii="Palatino Linotype" w:hAnsi="Palatino Linotype"/>
            <w:sz w:val="22"/>
            <w:szCs w:val="22"/>
          </w:rPr>
          <w:t>ramona.mundwiller@mccatoday.org</w:t>
        </w:r>
      </w:hyperlink>
      <w:r w:rsidRPr="002878A4">
        <w:rPr>
          <w:rFonts w:ascii="Palatino Linotype" w:hAnsi="Palatino Linotype"/>
          <w:sz w:val="22"/>
          <w:szCs w:val="22"/>
        </w:rPr>
        <w:t>) at MCCA.  The question and answer will be included in periodic updates to this document.</w:t>
      </w:r>
    </w:p>
    <w:p w14:paraId="0BFF2C71" w14:textId="57589742" w:rsidR="0026281B" w:rsidRPr="002878A4" w:rsidRDefault="0026281B" w:rsidP="00B86B7A">
      <w:pPr>
        <w:rPr>
          <w:rFonts w:ascii="Palatino Linotype" w:hAnsi="Palatino Linotype"/>
          <w:sz w:val="22"/>
          <w:szCs w:val="22"/>
        </w:rPr>
      </w:pPr>
    </w:p>
    <w:p w14:paraId="1CA62DF0" w14:textId="5065CC6D" w:rsidR="002878A4" w:rsidRDefault="002878A4" w:rsidP="00EC6781">
      <w:pPr>
        <w:pStyle w:val="ListParagraph"/>
        <w:numPr>
          <w:ilvl w:val="0"/>
          <w:numId w:val="2"/>
        </w:numPr>
        <w:rPr>
          <w:rFonts w:ascii="Palatino Linotype" w:hAnsi="Palatino Linotype"/>
          <w:sz w:val="22"/>
          <w:szCs w:val="22"/>
          <w:u w:val="single"/>
        </w:rPr>
      </w:pPr>
      <w:r>
        <w:rPr>
          <w:rFonts w:ascii="Palatino Linotype" w:hAnsi="Palatino Linotype"/>
          <w:sz w:val="22"/>
          <w:szCs w:val="22"/>
          <w:u w:val="single"/>
        </w:rPr>
        <w:t>What are the funding st</w:t>
      </w:r>
      <w:r w:rsidR="001F39DF">
        <w:rPr>
          <w:rFonts w:ascii="Palatino Linotype" w:hAnsi="Palatino Linotype"/>
          <w:sz w:val="22"/>
          <w:szCs w:val="22"/>
          <w:u w:val="single"/>
        </w:rPr>
        <w:t>r</w:t>
      </w:r>
      <w:r>
        <w:rPr>
          <w:rFonts w:ascii="Palatino Linotype" w:hAnsi="Palatino Linotype"/>
          <w:sz w:val="22"/>
          <w:szCs w:val="22"/>
          <w:u w:val="single"/>
        </w:rPr>
        <w:t>eams for FY</w:t>
      </w:r>
      <w:r w:rsidR="000707B6">
        <w:rPr>
          <w:rFonts w:ascii="Palatino Linotype" w:hAnsi="Palatino Linotype"/>
          <w:sz w:val="22"/>
          <w:szCs w:val="22"/>
          <w:u w:val="single"/>
        </w:rPr>
        <w:t>21</w:t>
      </w:r>
      <w:r>
        <w:rPr>
          <w:rFonts w:ascii="Palatino Linotype" w:hAnsi="Palatino Linotype"/>
          <w:sz w:val="22"/>
          <w:szCs w:val="22"/>
          <w:u w:val="single"/>
        </w:rPr>
        <w:t>?</w:t>
      </w:r>
    </w:p>
    <w:p w14:paraId="5D6F9E05" w14:textId="326AF6BF" w:rsidR="002878A4" w:rsidRDefault="002878A4" w:rsidP="002878A4">
      <w:pPr>
        <w:rPr>
          <w:rFonts w:ascii="Palatino Linotype" w:hAnsi="Palatino Linotype"/>
          <w:sz w:val="22"/>
          <w:szCs w:val="22"/>
          <w:u w:val="single"/>
        </w:rPr>
      </w:pPr>
    </w:p>
    <w:p w14:paraId="60A594B4" w14:textId="5E45C4DB" w:rsidR="002878A4" w:rsidRPr="004459C5" w:rsidRDefault="002878A4" w:rsidP="002878A4">
      <w:pPr>
        <w:ind w:left="720"/>
        <w:rPr>
          <w:rFonts w:ascii="Palatino Linotype" w:hAnsi="Palatino Linotype"/>
          <w:sz w:val="22"/>
          <w:szCs w:val="22"/>
        </w:rPr>
      </w:pPr>
      <w:r w:rsidRPr="004459C5">
        <w:rPr>
          <w:rFonts w:ascii="Palatino Linotype" w:hAnsi="Palatino Linotype"/>
          <w:sz w:val="22"/>
          <w:szCs w:val="22"/>
        </w:rPr>
        <w:t>During FY</w:t>
      </w:r>
      <w:r w:rsidR="000707B6">
        <w:rPr>
          <w:rFonts w:ascii="Palatino Linotype" w:hAnsi="Palatino Linotype"/>
          <w:sz w:val="22"/>
          <w:szCs w:val="22"/>
        </w:rPr>
        <w:t>21</w:t>
      </w:r>
      <w:r w:rsidRPr="004459C5">
        <w:rPr>
          <w:rFonts w:ascii="Palatino Linotype" w:hAnsi="Palatino Linotype"/>
          <w:sz w:val="22"/>
          <w:szCs w:val="22"/>
        </w:rPr>
        <w:t xml:space="preserve"> </w:t>
      </w:r>
      <w:r w:rsidR="000707B6">
        <w:rPr>
          <w:rFonts w:ascii="Palatino Linotype" w:hAnsi="Palatino Linotype"/>
          <w:sz w:val="22"/>
          <w:szCs w:val="22"/>
        </w:rPr>
        <w:t>the seven</w:t>
      </w:r>
      <w:r w:rsidRPr="004459C5">
        <w:rPr>
          <w:rFonts w:ascii="Palatino Linotype" w:hAnsi="Palatino Linotype"/>
          <w:sz w:val="22"/>
          <w:szCs w:val="22"/>
        </w:rPr>
        <w:t xml:space="preserve"> participating colleges have access to </w:t>
      </w:r>
      <w:r w:rsidR="000707B6">
        <w:rPr>
          <w:rFonts w:ascii="Palatino Linotype" w:hAnsi="Palatino Linotype"/>
          <w:sz w:val="22"/>
          <w:szCs w:val="22"/>
        </w:rPr>
        <w:t xml:space="preserve">the remaining </w:t>
      </w:r>
      <w:r w:rsidRPr="004459C5">
        <w:rPr>
          <w:rFonts w:ascii="Palatino Linotype" w:hAnsi="Palatino Linotype"/>
          <w:sz w:val="22"/>
          <w:szCs w:val="22"/>
        </w:rPr>
        <w:t>$2M in local match funds</w:t>
      </w:r>
      <w:r w:rsidR="000707B6">
        <w:rPr>
          <w:rFonts w:ascii="Palatino Linotype" w:hAnsi="Palatino Linotype"/>
          <w:sz w:val="22"/>
          <w:szCs w:val="22"/>
        </w:rPr>
        <w:t xml:space="preserve"> that MCCA received in 2018. For FFY21, these funds will be used for tuition only.</w:t>
      </w:r>
      <w:r w:rsidRPr="004459C5">
        <w:rPr>
          <w:rFonts w:ascii="Palatino Linotype" w:hAnsi="Palatino Linotype"/>
          <w:sz w:val="22"/>
          <w:szCs w:val="22"/>
        </w:rPr>
        <w:t xml:space="preserve">  </w:t>
      </w:r>
    </w:p>
    <w:p w14:paraId="1E6C3706" w14:textId="3887A990" w:rsidR="002878A4" w:rsidRPr="004459C5" w:rsidRDefault="002878A4" w:rsidP="002878A4">
      <w:pPr>
        <w:ind w:left="720"/>
        <w:rPr>
          <w:rFonts w:ascii="Palatino Linotype" w:hAnsi="Palatino Linotype"/>
          <w:sz w:val="22"/>
          <w:szCs w:val="22"/>
        </w:rPr>
      </w:pPr>
    </w:p>
    <w:p w14:paraId="2C6EC670" w14:textId="78D76B9D" w:rsidR="002878A4" w:rsidRDefault="002878A4" w:rsidP="002878A4">
      <w:pPr>
        <w:ind w:left="720"/>
        <w:rPr>
          <w:rFonts w:ascii="Palatino Linotype" w:hAnsi="Palatino Linotype"/>
          <w:sz w:val="22"/>
          <w:szCs w:val="22"/>
        </w:rPr>
      </w:pPr>
      <w:r w:rsidRPr="004459C5">
        <w:rPr>
          <w:rFonts w:ascii="Palatino Linotype" w:hAnsi="Palatino Linotype"/>
          <w:sz w:val="22"/>
          <w:szCs w:val="22"/>
        </w:rPr>
        <w:t>The USDA will provide the 50% federal matching funds via Missouri Department of Social Services (MDSS)/Family Support Division (FSD).</w:t>
      </w:r>
    </w:p>
    <w:p w14:paraId="7B4851B4" w14:textId="20736758" w:rsidR="000707B6" w:rsidRDefault="000707B6" w:rsidP="002878A4">
      <w:pPr>
        <w:ind w:left="720"/>
        <w:rPr>
          <w:rFonts w:ascii="Palatino Linotype" w:hAnsi="Palatino Linotype"/>
          <w:sz w:val="22"/>
          <w:szCs w:val="22"/>
        </w:rPr>
      </w:pPr>
    </w:p>
    <w:p w14:paraId="065065AD" w14:textId="3649DB85" w:rsidR="000707B6" w:rsidRPr="004459C5" w:rsidRDefault="000707B6" w:rsidP="002878A4">
      <w:pPr>
        <w:ind w:left="720"/>
        <w:rPr>
          <w:rFonts w:ascii="Palatino Linotype" w:hAnsi="Palatino Linotype"/>
          <w:sz w:val="22"/>
          <w:szCs w:val="22"/>
        </w:rPr>
      </w:pPr>
      <w:r>
        <w:rPr>
          <w:rFonts w:ascii="Palatino Linotype" w:hAnsi="Palatino Linotype"/>
          <w:sz w:val="22"/>
          <w:szCs w:val="22"/>
        </w:rPr>
        <w:t xml:space="preserve">Participating colleges will use their own funding for local match for the administrative component of their budgets. </w:t>
      </w:r>
    </w:p>
    <w:p w14:paraId="3B58736C" w14:textId="77777777" w:rsidR="002878A4" w:rsidRPr="004459C5" w:rsidRDefault="002878A4" w:rsidP="002878A4">
      <w:pPr>
        <w:ind w:left="720"/>
        <w:rPr>
          <w:rFonts w:ascii="Palatino Linotype" w:hAnsi="Palatino Linotype"/>
          <w:sz w:val="22"/>
          <w:szCs w:val="22"/>
        </w:rPr>
      </w:pPr>
    </w:p>
    <w:p w14:paraId="720CD719" w14:textId="6BC3637C" w:rsidR="002878A4" w:rsidRDefault="004459C5" w:rsidP="002878A4">
      <w:pPr>
        <w:ind w:left="720"/>
        <w:rPr>
          <w:rFonts w:ascii="Palatino Linotype" w:hAnsi="Palatino Linotype"/>
          <w:sz w:val="22"/>
          <w:szCs w:val="22"/>
        </w:rPr>
      </w:pPr>
      <w:r w:rsidRPr="004459C5">
        <w:rPr>
          <w:rFonts w:ascii="Palatino Linotype" w:hAnsi="Palatino Linotype"/>
          <w:sz w:val="22"/>
          <w:szCs w:val="22"/>
        </w:rPr>
        <w:t>Participating schools are also encouraged to continue building partner type relationships with local businesses which may require educational training.  This is an integral part of raising local match funds for potential future use.</w:t>
      </w:r>
    </w:p>
    <w:p w14:paraId="41CC8355" w14:textId="5DD7344F" w:rsidR="004459C5" w:rsidRDefault="004459C5" w:rsidP="002878A4">
      <w:pPr>
        <w:ind w:left="720"/>
        <w:rPr>
          <w:rFonts w:ascii="Palatino Linotype" w:hAnsi="Palatino Linotype"/>
          <w:sz w:val="22"/>
          <w:szCs w:val="22"/>
        </w:rPr>
      </w:pPr>
    </w:p>
    <w:p w14:paraId="23FEB223" w14:textId="01215152" w:rsidR="004459C5" w:rsidRPr="00874DD9" w:rsidRDefault="00B05CF9" w:rsidP="004459C5">
      <w:pPr>
        <w:pStyle w:val="ListParagraph"/>
        <w:numPr>
          <w:ilvl w:val="0"/>
          <w:numId w:val="2"/>
        </w:numPr>
        <w:rPr>
          <w:rFonts w:ascii="Palatino Linotype" w:hAnsi="Palatino Linotype"/>
          <w:sz w:val="22"/>
          <w:szCs w:val="22"/>
          <w:u w:val="single"/>
        </w:rPr>
      </w:pPr>
      <w:r w:rsidRPr="00874DD9">
        <w:rPr>
          <w:rFonts w:ascii="Palatino Linotype" w:hAnsi="Palatino Linotype"/>
          <w:sz w:val="22"/>
          <w:szCs w:val="22"/>
          <w:u w:val="single"/>
        </w:rPr>
        <w:t>How should my college submit a budget for FY</w:t>
      </w:r>
      <w:r w:rsidR="000707B6">
        <w:rPr>
          <w:rFonts w:ascii="Palatino Linotype" w:hAnsi="Palatino Linotype"/>
          <w:sz w:val="22"/>
          <w:szCs w:val="22"/>
          <w:u w:val="single"/>
        </w:rPr>
        <w:t>21</w:t>
      </w:r>
      <w:r w:rsidRPr="00874DD9">
        <w:rPr>
          <w:rFonts w:ascii="Palatino Linotype" w:hAnsi="Palatino Linotype"/>
          <w:sz w:val="22"/>
          <w:szCs w:val="22"/>
          <w:u w:val="single"/>
        </w:rPr>
        <w:t>?</w:t>
      </w:r>
    </w:p>
    <w:p w14:paraId="6D7E9C41" w14:textId="4E929415" w:rsidR="00B05CF9" w:rsidRDefault="00B05CF9" w:rsidP="00B05CF9">
      <w:pPr>
        <w:ind w:left="360"/>
        <w:rPr>
          <w:rFonts w:ascii="Palatino Linotype" w:hAnsi="Palatino Linotype"/>
          <w:sz w:val="22"/>
          <w:szCs w:val="22"/>
        </w:rPr>
      </w:pPr>
    </w:p>
    <w:p w14:paraId="32826BA4" w14:textId="1BF760B7" w:rsidR="00D33648" w:rsidRPr="00B05CF9" w:rsidRDefault="00F467CF" w:rsidP="00B05CF9">
      <w:pPr>
        <w:ind w:left="720"/>
        <w:rPr>
          <w:rFonts w:ascii="Palatino Linotype" w:hAnsi="Palatino Linotype"/>
          <w:sz w:val="22"/>
          <w:szCs w:val="22"/>
        </w:rPr>
      </w:pPr>
      <w:r>
        <w:rPr>
          <w:rFonts w:ascii="Palatino Linotype" w:hAnsi="Palatino Linotype"/>
          <w:sz w:val="22"/>
          <w:szCs w:val="22"/>
        </w:rPr>
        <w:t xml:space="preserve">The funding model will be based on a cost of $5,000 per program per participant.  </w:t>
      </w:r>
      <w:proofErr w:type="gramStart"/>
      <w:r w:rsidR="005C3DA3">
        <w:rPr>
          <w:rFonts w:ascii="Palatino Linotype" w:hAnsi="Palatino Linotype"/>
          <w:sz w:val="22"/>
          <w:szCs w:val="22"/>
        </w:rPr>
        <w:t xml:space="preserve">Each </w:t>
      </w:r>
      <w:r w:rsidR="00874DD9">
        <w:rPr>
          <w:rFonts w:ascii="Palatino Linotype" w:hAnsi="Palatino Linotype"/>
          <w:sz w:val="22"/>
          <w:szCs w:val="22"/>
        </w:rPr>
        <w:t xml:space="preserve"> participating</w:t>
      </w:r>
      <w:proofErr w:type="gramEnd"/>
      <w:r w:rsidR="00874DD9">
        <w:rPr>
          <w:rFonts w:ascii="Palatino Linotype" w:hAnsi="Palatino Linotype"/>
          <w:sz w:val="22"/>
          <w:szCs w:val="22"/>
        </w:rPr>
        <w:t xml:space="preserve"> college </w:t>
      </w:r>
      <w:r w:rsidR="005C3DA3">
        <w:rPr>
          <w:rFonts w:ascii="Palatino Linotype" w:hAnsi="Palatino Linotype"/>
          <w:sz w:val="22"/>
          <w:szCs w:val="22"/>
        </w:rPr>
        <w:t>should submit a budget that includes projected programs, number of projected participants</w:t>
      </w:r>
      <w:r w:rsidR="007542B4">
        <w:rPr>
          <w:rFonts w:ascii="Palatino Linotype" w:hAnsi="Palatino Linotype"/>
          <w:sz w:val="22"/>
          <w:szCs w:val="22"/>
        </w:rPr>
        <w:t xml:space="preserve">, and administration </w:t>
      </w:r>
      <w:r w:rsidR="00DC68D0">
        <w:rPr>
          <w:rFonts w:ascii="Palatino Linotype" w:hAnsi="Palatino Linotype"/>
          <w:sz w:val="22"/>
          <w:szCs w:val="22"/>
        </w:rPr>
        <w:t>expenses (salary, fringe, travel etc.)</w:t>
      </w:r>
    </w:p>
    <w:p w14:paraId="11E2DA96" w14:textId="46E869C9" w:rsidR="004459C5" w:rsidRDefault="004459C5" w:rsidP="002878A4">
      <w:pPr>
        <w:ind w:left="720"/>
        <w:rPr>
          <w:rFonts w:ascii="Palatino Linotype" w:hAnsi="Palatino Linotype"/>
          <w:sz w:val="22"/>
          <w:szCs w:val="22"/>
        </w:rPr>
      </w:pPr>
    </w:p>
    <w:p w14:paraId="5D2F0DD3" w14:textId="330DC9FB" w:rsidR="004459C5" w:rsidRPr="004459C5" w:rsidRDefault="004459C5" w:rsidP="004459C5">
      <w:pPr>
        <w:pStyle w:val="ListParagraph"/>
        <w:numPr>
          <w:ilvl w:val="0"/>
          <w:numId w:val="2"/>
        </w:numPr>
        <w:rPr>
          <w:rFonts w:ascii="Palatino Linotype" w:hAnsi="Palatino Linotype"/>
          <w:sz w:val="22"/>
          <w:szCs w:val="22"/>
        </w:rPr>
      </w:pPr>
      <w:r>
        <w:rPr>
          <w:rFonts w:ascii="Palatino Linotype" w:hAnsi="Palatino Linotype"/>
          <w:sz w:val="22"/>
          <w:szCs w:val="22"/>
          <w:u w:val="single"/>
        </w:rPr>
        <w:t>How will the funding work for FY</w:t>
      </w:r>
      <w:r w:rsidR="000707B6">
        <w:rPr>
          <w:rFonts w:ascii="Palatino Linotype" w:hAnsi="Palatino Linotype"/>
          <w:sz w:val="22"/>
          <w:szCs w:val="22"/>
          <w:u w:val="single"/>
        </w:rPr>
        <w:t>21</w:t>
      </w:r>
      <w:r>
        <w:rPr>
          <w:rFonts w:ascii="Palatino Linotype" w:hAnsi="Palatino Linotype"/>
          <w:sz w:val="22"/>
          <w:szCs w:val="22"/>
          <w:u w:val="single"/>
        </w:rPr>
        <w:t>?</w:t>
      </w:r>
    </w:p>
    <w:p w14:paraId="167917A0" w14:textId="0FA126B0" w:rsidR="004459C5" w:rsidRDefault="004459C5" w:rsidP="004459C5">
      <w:pPr>
        <w:rPr>
          <w:rFonts w:ascii="Palatino Linotype" w:hAnsi="Palatino Linotype"/>
          <w:sz w:val="22"/>
          <w:szCs w:val="22"/>
        </w:rPr>
      </w:pPr>
    </w:p>
    <w:p w14:paraId="5DDAD00A" w14:textId="47BE5228" w:rsidR="00874DD9" w:rsidRDefault="00F467CF" w:rsidP="00A166D8">
      <w:pPr>
        <w:ind w:left="720"/>
        <w:rPr>
          <w:rFonts w:ascii="Palatino Linotype" w:hAnsi="Palatino Linotype"/>
          <w:sz w:val="22"/>
          <w:szCs w:val="22"/>
        </w:rPr>
      </w:pPr>
      <w:r>
        <w:rPr>
          <w:rFonts w:ascii="Palatino Linotype" w:hAnsi="Palatino Linotype"/>
          <w:sz w:val="22"/>
          <w:szCs w:val="22"/>
        </w:rPr>
        <w:t xml:space="preserve">The funding model will be based on </w:t>
      </w:r>
      <w:r w:rsidR="00A166D8">
        <w:rPr>
          <w:rFonts w:ascii="Palatino Linotype" w:hAnsi="Palatino Linotype"/>
          <w:sz w:val="22"/>
          <w:szCs w:val="22"/>
        </w:rPr>
        <w:t>submitted and approved budgets for each school</w:t>
      </w:r>
      <w:r>
        <w:rPr>
          <w:rFonts w:ascii="Palatino Linotype" w:hAnsi="Palatino Linotype"/>
          <w:sz w:val="22"/>
          <w:szCs w:val="22"/>
        </w:rPr>
        <w:t xml:space="preserve">. </w:t>
      </w:r>
    </w:p>
    <w:p w14:paraId="7E5B67F1" w14:textId="77777777" w:rsidR="00874DD9" w:rsidRDefault="00874DD9" w:rsidP="00874DD9">
      <w:pPr>
        <w:ind w:left="720"/>
        <w:rPr>
          <w:rFonts w:ascii="Palatino Linotype" w:hAnsi="Palatino Linotype"/>
          <w:sz w:val="22"/>
          <w:szCs w:val="22"/>
        </w:rPr>
      </w:pPr>
    </w:p>
    <w:p w14:paraId="3455F38C" w14:textId="1B49CC0E" w:rsidR="004459C5" w:rsidRDefault="004459C5" w:rsidP="004459C5">
      <w:pPr>
        <w:ind w:left="720"/>
        <w:rPr>
          <w:rFonts w:ascii="Palatino Linotype" w:hAnsi="Palatino Linotype"/>
          <w:sz w:val="22"/>
          <w:szCs w:val="22"/>
        </w:rPr>
      </w:pPr>
      <w:r>
        <w:rPr>
          <w:rFonts w:ascii="Palatino Linotype" w:hAnsi="Palatino Linotype"/>
          <w:sz w:val="22"/>
          <w:szCs w:val="22"/>
        </w:rPr>
        <w:t>MCCA has engage</w:t>
      </w:r>
      <w:r w:rsidR="00006571">
        <w:rPr>
          <w:rFonts w:ascii="Palatino Linotype" w:hAnsi="Palatino Linotype"/>
          <w:sz w:val="22"/>
          <w:szCs w:val="22"/>
        </w:rPr>
        <w:t>d</w:t>
      </w:r>
      <w:r>
        <w:rPr>
          <w:rFonts w:ascii="Palatino Linotype" w:hAnsi="Palatino Linotype"/>
          <w:sz w:val="22"/>
          <w:szCs w:val="22"/>
        </w:rPr>
        <w:t xml:space="preserve"> Ozarks Technical Community College to </w:t>
      </w:r>
      <w:r w:rsidR="00D02253">
        <w:rPr>
          <w:rFonts w:ascii="Palatino Linotype" w:hAnsi="Palatino Linotype"/>
          <w:sz w:val="22"/>
          <w:szCs w:val="22"/>
        </w:rPr>
        <w:t>serve as</w:t>
      </w:r>
      <w:r>
        <w:rPr>
          <w:rFonts w:ascii="Palatino Linotype" w:hAnsi="Palatino Linotype"/>
          <w:sz w:val="22"/>
          <w:szCs w:val="22"/>
        </w:rPr>
        <w:t xml:space="preserve"> </w:t>
      </w:r>
      <w:r w:rsidR="00006571">
        <w:rPr>
          <w:rFonts w:ascii="Palatino Linotype" w:hAnsi="Palatino Linotype"/>
          <w:sz w:val="22"/>
          <w:szCs w:val="22"/>
        </w:rPr>
        <w:t>its</w:t>
      </w:r>
      <w:r>
        <w:rPr>
          <w:rFonts w:ascii="Palatino Linotype" w:hAnsi="Palatino Linotype"/>
          <w:sz w:val="22"/>
          <w:szCs w:val="22"/>
        </w:rPr>
        <w:t xml:space="preserve"> fiduciary agent for </w:t>
      </w:r>
      <w:proofErr w:type="spellStart"/>
      <w:r>
        <w:rPr>
          <w:rFonts w:ascii="Palatino Linotype" w:hAnsi="Palatino Linotype"/>
          <w:sz w:val="22"/>
          <w:szCs w:val="22"/>
        </w:rPr>
        <w:t>SkillUP</w:t>
      </w:r>
      <w:proofErr w:type="spellEnd"/>
      <w:r>
        <w:rPr>
          <w:rFonts w:ascii="Palatino Linotype" w:hAnsi="Palatino Linotype"/>
          <w:sz w:val="22"/>
          <w:szCs w:val="22"/>
        </w:rPr>
        <w:t xml:space="preserve">.  All monthly reimbursement requests should be sent to OTC in accordance with the guidance set forth below.  </w:t>
      </w:r>
    </w:p>
    <w:p w14:paraId="52637552" w14:textId="4C98ABAC" w:rsidR="00874DD9" w:rsidRDefault="00874DD9" w:rsidP="004459C5">
      <w:pPr>
        <w:ind w:left="720"/>
        <w:rPr>
          <w:rFonts w:ascii="Palatino Linotype" w:hAnsi="Palatino Linotype"/>
          <w:sz w:val="22"/>
          <w:szCs w:val="22"/>
        </w:rPr>
      </w:pPr>
    </w:p>
    <w:p w14:paraId="17FEBA02" w14:textId="330A7488" w:rsidR="00874DD9" w:rsidRDefault="00874DD9" w:rsidP="004459C5">
      <w:pPr>
        <w:ind w:left="720"/>
        <w:rPr>
          <w:rFonts w:ascii="Palatino Linotype" w:hAnsi="Palatino Linotype"/>
          <w:sz w:val="22"/>
          <w:szCs w:val="22"/>
        </w:rPr>
      </w:pPr>
      <w:r>
        <w:rPr>
          <w:rFonts w:ascii="Palatino Linotype" w:hAnsi="Palatino Linotype"/>
          <w:sz w:val="22"/>
          <w:szCs w:val="22"/>
        </w:rPr>
        <w:lastRenderedPageBreak/>
        <w:t xml:space="preserve">MCCA and OTC will track requests against budget projections to ensure </w:t>
      </w:r>
      <w:r w:rsidR="005939CE">
        <w:rPr>
          <w:rFonts w:ascii="Palatino Linotype" w:hAnsi="Palatino Linotype"/>
          <w:sz w:val="22"/>
          <w:szCs w:val="22"/>
        </w:rPr>
        <w:t xml:space="preserve">schools are falling within the cost guidelines of the program.  </w:t>
      </w:r>
    </w:p>
    <w:p w14:paraId="56A06B2F" w14:textId="633CD140" w:rsidR="005939CE" w:rsidRDefault="005939CE" w:rsidP="004459C5">
      <w:pPr>
        <w:ind w:left="720"/>
        <w:rPr>
          <w:rFonts w:ascii="Palatino Linotype" w:hAnsi="Palatino Linotype"/>
          <w:sz w:val="22"/>
          <w:szCs w:val="22"/>
        </w:rPr>
      </w:pPr>
    </w:p>
    <w:p w14:paraId="2F3462A9" w14:textId="27F9833C" w:rsidR="005939CE" w:rsidRDefault="005939CE" w:rsidP="004459C5">
      <w:pPr>
        <w:ind w:left="720"/>
        <w:rPr>
          <w:rFonts w:ascii="Palatino Linotype" w:hAnsi="Palatino Linotype"/>
          <w:sz w:val="22"/>
          <w:szCs w:val="22"/>
        </w:rPr>
      </w:pPr>
      <w:r>
        <w:rPr>
          <w:rFonts w:ascii="Palatino Linotype" w:hAnsi="Palatino Linotype"/>
          <w:sz w:val="22"/>
          <w:szCs w:val="22"/>
        </w:rPr>
        <w:t>There are programs which cost a</w:t>
      </w:r>
      <w:r w:rsidR="00D02253">
        <w:rPr>
          <w:rFonts w:ascii="Palatino Linotype" w:hAnsi="Palatino Linotype"/>
          <w:sz w:val="22"/>
          <w:szCs w:val="22"/>
        </w:rPr>
        <w:t>s much as</w:t>
      </w:r>
      <w:r>
        <w:rPr>
          <w:rFonts w:ascii="Palatino Linotype" w:hAnsi="Palatino Linotype"/>
          <w:sz w:val="22"/>
          <w:szCs w:val="22"/>
        </w:rPr>
        <w:t xml:space="preserve"> or more than the $5,000 per program.  Since these are likely popular or in demand programs i.e. truck driving, we will work with those colleges to allow those program costs.</w:t>
      </w:r>
    </w:p>
    <w:p w14:paraId="5D1ABF85" w14:textId="66322FE0" w:rsidR="00006571" w:rsidRDefault="00006571" w:rsidP="004459C5">
      <w:pPr>
        <w:ind w:left="720"/>
        <w:rPr>
          <w:rFonts w:ascii="Palatino Linotype" w:hAnsi="Palatino Linotype"/>
          <w:sz w:val="22"/>
          <w:szCs w:val="22"/>
        </w:rPr>
      </w:pPr>
    </w:p>
    <w:p w14:paraId="3D59BF98" w14:textId="7B340F2D" w:rsidR="006205FC" w:rsidRPr="002878A4" w:rsidRDefault="006205FC" w:rsidP="006205FC">
      <w:pPr>
        <w:pStyle w:val="ListParagraph"/>
        <w:numPr>
          <w:ilvl w:val="0"/>
          <w:numId w:val="2"/>
        </w:numPr>
        <w:rPr>
          <w:rFonts w:ascii="Palatino Linotype" w:hAnsi="Palatino Linotype"/>
          <w:sz w:val="22"/>
          <w:szCs w:val="22"/>
          <w:u w:val="single"/>
        </w:rPr>
      </w:pPr>
      <w:r w:rsidRPr="002878A4">
        <w:rPr>
          <w:rFonts w:ascii="Palatino Linotype" w:hAnsi="Palatino Linotype"/>
          <w:sz w:val="22"/>
          <w:szCs w:val="22"/>
          <w:u w:val="single"/>
        </w:rPr>
        <w:t>Will there be a specific form to use to request reimbursement or do we prepare and submit an invoice? What is the timeline and procedure for payment? To whom do we submit our financial reimbursement requests or other financial information?</w:t>
      </w:r>
    </w:p>
    <w:p w14:paraId="3717EF27" w14:textId="77777777" w:rsidR="006205FC" w:rsidRPr="002878A4" w:rsidRDefault="006205FC" w:rsidP="006205FC">
      <w:pPr>
        <w:pStyle w:val="ListParagraph"/>
        <w:rPr>
          <w:rFonts w:ascii="Palatino Linotype" w:hAnsi="Palatino Linotype"/>
          <w:sz w:val="22"/>
          <w:szCs w:val="22"/>
        </w:rPr>
      </w:pPr>
    </w:p>
    <w:p w14:paraId="2C3E8934" w14:textId="35CBDCA1" w:rsidR="006205FC" w:rsidRPr="002878A4" w:rsidRDefault="006205FC" w:rsidP="006205FC">
      <w:pPr>
        <w:pStyle w:val="ListParagraph"/>
        <w:rPr>
          <w:rFonts w:ascii="Palatino Linotype" w:hAnsi="Palatino Linotype"/>
          <w:sz w:val="22"/>
          <w:szCs w:val="22"/>
        </w:rPr>
      </w:pPr>
      <w:r w:rsidRPr="002878A4">
        <w:rPr>
          <w:rFonts w:ascii="Palatino Linotype" w:hAnsi="Palatino Linotype"/>
          <w:sz w:val="22"/>
          <w:szCs w:val="22"/>
        </w:rPr>
        <w:t xml:space="preserve">Payments will be made on a cost-reimbursement basis on the approved MCCA </w:t>
      </w:r>
      <w:proofErr w:type="spellStart"/>
      <w:r w:rsidRPr="002878A4">
        <w:rPr>
          <w:rFonts w:ascii="Palatino Linotype" w:hAnsi="Palatino Linotype"/>
          <w:sz w:val="22"/>
          <w:szCs w:val="22"/>
        </w:rPr>
        <w:t>SkillUP</w:t>
      </w:r>
      <w:proofErr w:type="spellEnd"/>
      <w:r w:rsidRPr="002878A4">
        <w:rPr>
          <w:rFonts w:ascii="Palatino Linotype" w:hAnsi="Palatino Linotype"/>
          <w:sz w:val="22"/>
          <w:szCs w:val="22"/>
        </w:rPr>
        <w:t xml:space="preserve"> Invoice/Request for Payment form. Requests must be submitted monthly. They must be received by OTC by the 1</w:t>
      </w:r>
      <w:r w:rsidR="000707B6">
        <w:rPr>
          <w:rFonts w:ascii="Palatino Linotype" w:hAnsi="Palatino Linotype"/>
          <w:sz w:val="22"/>
          <w:szCs w:val="22"/>
        </w:rPr>
        <w:t>0</w:t>
      </w:r>
      <w:r w:rsidRPr="002878A4">
        <w:rPr>
          <w:rFonts w:ascii="Palatino Linotype" w:hAnsi="Palatino Linotype"/>
          <w:sz w:val="22"/>
          <w:szCs w:val="22"/>
        </w:rPr>
        <w:t xml:space="preserve">th of the month following the activity period for which reimbursement is requested. For example, August expenses would need to be submitted by </w:t>
      </w:r>
      <w:r w:rsidR="00421C77">
        <w:rPr>
          <w:rFonts w:ascii="Palatino Linotype" w:hAnsi="Palatino Linotype"/>
          <w:sz w:val="22"/>
          <w:szCs w:val="22"/>
        </w:rPr>
        <w:t>September</w:t>
      </w:r>
      <w:r w:rsidRPr="002878A4">
        <w:rPr>
          <w:rFonts w:ascii="Palatino Linotype" w:hAnsi="Palatino Linotype"/>
          <w:sz w:val="22"/>
          <w:szCs w:val="22"/>
        </w:rPr>
        <w:t xml:space="preserve"> 1</w:t>
      </w:r>
      <w:r w:rsidR="000707B6">
        <w:rPr>
          <w:rFonts w:ascii="Palatino Linotype" w:hAnsi="Palatino Linotype"/>
          <w:sz w:val="22"/>
          <w:szCs w:val="22"/>
        </w:rPr>
        <w:t>0</w:t>
      </w:r>
      <w:r w:rsidRPr="002878A4">
        <w:rPr>
          <w:rFonts w:ascii="Palatino Linotype" w:hAnsi="Palatino Linotype"/>
          <w:sz w:val="22"/>
          <w:szCs w:val="22"/>
        </w:rPr>
        <w:t>th for processing. Reimbursement requests received by OTC after the 1</w:t>
      </w:r>
      <w:r w:rsidR="000707B6">
        <w:rPr>
          <w:rFonts w:ascii="Palatino Linotype" w:hAnsi="Palatino Linotype"/>
          <w:sz w:val="22"/>
          <w:szCs w:val="22"/>
        </w:rPr>
        <w:t>0</w:t>
      </w:r>
      <w:r w:rsidRPr="002878A4">
        <w:rPr>
          <w:rFonts w:ascii="Palatino Linotype" w:hAnsi="Palatino Linotype"/>
          <w:sz w:val="22"/>
          <w:szCs w:val="22"/>
        </w:rPr>
        <w:t>th of the month would be processed and paid during the following business cycle. For example, a request for August that is not received in the OTC offices until August 1</w:t>
      </w:r>
      <w:r w:rsidR="000707B6">
        <w:rPr>
          <w:rFonts w:ascii="Palatino Linotype" w:hAnsi="Palatino Linotype"/>
          <w:sz w:val="22"/>
          <w:szCs w:val="22"/>
        </w:rPr>
        <w:t>1</w:t>
      </w:r>
      <w:r w:rsidRPr="002878A4">
        <w:rPr>
          <w:rFonts w:ascii="Palatino Linotype" w:hAnsi="Palatino Linotype"/>
          <w:sz w:val="22"/>
          <w:szCs w:val="22"/>
        </w:rPr>
        <w:t xml:space="preserve">th would not be submitted until </w:t>
      </w:r>
      <w:r w:rsidR="000B79E3">
        <w:rPr>
          <w:rFonts w:ascii="Palatino Linotype" w:hAnsi="Palatino Linotype"/>
          <w:sz w:val="22"/>
          <w:szCs w:val="22"/>
        </w:rPr>
        <w:t>October</w:t>
      </w:r>
      <w:r w:rsidRPr="002878A4">
        <w:rPr>
          <w:rFonts w:ascii="Palatino Linotype" w:hAnsi="Palatino Linotype"/>
          <w:sz w:val="22"/>
          <w:szCs w:val="22"/>
        </w:rPr>
        <w:t>.</w:t>
      </w:r>
    </w:p>
    <w:p w14:paraId="76226827" w14:textId="77777777" w:rsidR="006205FC" w:rsidRPr="002878A4" w:rsidRDefault="006205FC" w:rsidP="006205FC">
      <w:pPr>
        <w:pStyle w:val="ListParagraph"/>
        <w:rPr>
          <w:rFonts w:ascii="Palatino Linotype" w:hAnsi="Palatino Linotype"/>
          <w:sz w:val="22"/>
          <w:szCs w:val="22"/>
        </w:rPr>
      </w:pPr>
    </w:p>
    <w:p w14:paraId="21029F53" w14:textId="432A2816" w:rsidR="006205FC" w:rsidRPr="002878A4" w:rsidRDefault="006205FC" w:rsidP="006205FC">
      <w:pPr>
        <w:pStyle w:val="ListParagraph"/>
        <w:rPr>
          <w:rFonts w:ascii="Palatino Linotype" w:hAnsi="Palatino Linotype"/>
          <w:sz w:val="22"/>
          <w:szCs w:val="22"/>
        </w:rPr>
      </w:pPr>
      <w:r w:rsidRPr="002878A4">
        <w:rPr>
          <w:rFonts w:ascii="Palatino Linotype" w:hAnsi="Palatino Linotype"/>
          <w:sz w:val="22"/>
          <w:szCs w:val="22"/>
        </w:rPr>
        <w:t>Each consortium partner will supply electronic copies of supporting documentation that is adequate as defined by the financial policies of the institution</w:t>
      </w:r>
      <w:r w:rsidR="000707B6">
        <w:rPr>
          <w:rFonts w:ascii="Palatino Linotype" w:hAnsi="Palatino Linotype"/>
          <w:sz w:val="22"/>
          <w:szCs w:val="22"/>
        </w:rPr>
        <w:t xml:space="preserve">, program guidelines outlined in the </w:t>
      </w:r>
      <w:proofErr w:type="spellStart"/>
      <w:r w:rsidR="000707B6">
        <w:rPr>
          <w:rFonts w:ascii="Palatino Linotype" w:hAnsi="Palatino Linotype"/>
          <w:sz w:val="22"/>
          <w:szCs w:val="22"/>
        </w:rPr>
        <w:t>SkillUP</w:t>
      </w:r>
      <w:proofErr w:type="spellEnd"/>
      <w:r w:rsidR="000707B6">
        <w:rPr>
          <w:rFonts w:ascii="Palatino Linotype" w:hAnsi="Palatino Linotype"/>
          <w:sz w:val="22"/>
          <w:szCs w:val="22"/>
        </w:rPr>
        <w:t xml:space="preserve"> handbook,</w:t>
      </w:r>
      <w:r w:rsidRPr="002878A4">
        <w:rPr>
          <w:rFonts w:ascii="Palatino Linotype" w:hAnsi="Palatino Linotype"/>
          <w:sz w:val="22"/>
          <w:szCs w:val="22"/>
        </w:rPr>
        <w:t xml:space="preserve"> and applicable local, state and federal policies, with adherence to the most restrictive of these policies. </w:t>
      </w:r>
    </w:p>
    <w:p w14:paraId="7CA6F011" w14:textId="77777777" w:rsidR="006205FC" w:rsidRPr="002878A4" w:rsidRDefault="006205FC" w:rsidP="006205FC">
      <w:pPr>
        <w:pStyle w:val="ListParagraph"/>
        <w:rPr>
          <w:rFonts w:ascii="Palatino Linotype" w:hAnsi="Palatino Linotype"/>
          <w:sz w:val="22"/>
          <w:szCs w:val="22"/>
        </w:rPr>
      </w:pPr>
    </w:p>
    <w:p w14:paraId="2B54AFDE" w14:textId="293457B1" w:rsidR="006205FC" w:rsidRPr="002878A4" w:rsidRDefault="006205FC" w:rsidP="006205FC">
      <w:pPr>
        <w:pStyle w:val="ListParagraph"/>
        <w:rPr>
          <w:rFonts w:ascii="Palatino Linotype" w:hAnsi="Palatino Linotype"/>
          <w:sz w:val="22"/>
          <w:szCs w:val="22"/>
        </w:rPr>
      </w:pPr>
      <w:r w:rsidRPr="002878A4">
        <w:rPr>
          <w:rFonts w:ascii="Palatino Linotype" w:hAnsi="Palatino Linotype"/>
          <w:sz w:val="22"/>
          <w:szCs w:val="22"/>
        </w:rPr>
        <w:t xml:space="preserve">OTC will complete desktop monitoring for each reimbursement request received. Original and additional supporting documentation should be maintained on site and readily available for on-site monitoring as needed by OTC, the Federal Program Officer, </w:t>
      </w:r>
      <w:r w:rsidR="000B79E3">
        <w:rPr>
          <w:rFonts w:ascii="Palatino Linotype" w:hAnsi="Palatino Linotype"/>
          <w:sz w:val="22"/>
          <w:szCs w:val="22"/>
        </w:rPr>
        <w:t xml:space="preserve">MCCA </w:t>
      </w:r>
      <w:r w:rsidRPr="002878A4">
        <w:rPr>
          <w:rFonts w:ascii="Palatino Linotype" w:hAnsi="Palatino Linotype"/>
          <w:sz w:val="22"/>
          <w:szCs w:val="22"/>
        </w:rPr>
        <w:t>or any other authorized representatives.</w:t>
      </w:r>
    </w:p>
    <w:p w14:paraId="6AEB9C81" w14:textId="77777777" w:rsidR="006205FC" w:rsidRPr="002878A4" w:rsidRDefault="006205FC" w:rsidP="006205FC">
      <w:pPr>
        <w:pStyle w:val="ListParagraph"/>
        <w:rPr>
          <w:rFonts w:ascii="Palatino Linotype" w:hAnsi="Palatino Linotype"/>
          <w:sz w:val="22"/>
          <w:szCs w:val="22"/>
        </w:rPr>
      </w:pPr>
    </w:p>
    <w:p w14:paraId="6BDFFE4A" w14:textId="7C261D85" w:rsidR="006205FC" w:rsidRPr="00154C13" w:rsidRDefault="00154C13" w:rsidP="006205FC">
      <w:pPr>
        <w:pStyle w:val="ListParagraph"/>
        <w:rPr>
          <w:rFonts w:ascii="Palatino Linotype" w:hAnsi="Palatino Linotype"/>
          <w:sz w:val="22"/>
          <w:szCs w:val="22"/>
        </w:rPr>
      </w:pPr>
      <w:r w:rsidRPr="00154C13">
        <w:rPr>
          <w:rFonts w:ascii="Palatino Linotype" w:hAnsi="Palatino Linotype"/>
          <w:sz w:val="22"/>
          <w:szCs w:val="22"/>
        </w:rPr>
        <w:t xml:space="preserve">Monthly reimbursement requests should be emailed to Brad Vass </w:t>
      </w:r>
      <w:r w:rsidR="000707B6">
        <w:rPr>
          <w:rFonts w:ascii="Palatino Linotype" w:hAnsi="Palatino Linotype"/>
          <w:sz w:val="22"/>
          <w:szCs w:val="22"/>
        </w:rPr>
        <w:t xml:space="preserve">or Kim Thomas </w:t>
      </w:r>
      <w:r w:rsidRPr="00154C13">
        <w:rPr>
          <w:rFonts w:ascii="Palatino Linotype" w:hAnsi="Palatino Linotype"/>
          <w:sz w:val="22"/>
          <w:szCs w:val="22"/>
        </w:rPr>
        <w:t xml:space="preserve">at OTC via </w:t>
      </w:r>
      <w:hyperlink r:id="rId10" w:history="1">
        <w:r w:rsidR="000707B6" w:rsidRPr="00AD09EC">
          <w:rPr>
            <w:rStyle w:val="Hyperlink"/>
            <w:rFonts w:ascii="Palatino Linotype" w:hAnsi="Palatino Linotype"/>
            <w:sz w:val="22"/>
            <w:szCs w:val="22"/>
          </w:rPr>
          <w:t>vassb@otc.edu</w:t>
        </w:r>
      </w:hyperlink>
      <w:r w:rsidR="000707B6">
        <w:rPr>
          <w:rFonts w:ascii="Palatino Linotype" w:hAnsi="Palatino Linotype"/>
          <w:sz w:val="22"/>
          <w:szCs w:val="22"/>
        </w:rPr>
        <w:t xml:space="preserve"> or thomask@otc.edu.</w:t>
      </w:r>
    </w:p>
    <w:p w14:paraId="58E1624B" w14:textId="5984AC4A" w:rsidR="00B05CF9" w:rsidRDefault="00B05CF9" w:rsidP="006205FC">
      <w:pPr>
        <w:pStyle w:val="ListParagraph"/>
        <w:rPr>
          <w:rFonts w:ascii="Palatino Linotype" w:hAnsi="Palatino Linotype"/>
          <w:sz w:val="22"/>
          <w:szCs w:val="22"/>
        </w:rPr>
      </w:pPr>
    </w:p>
    <w:p w14:paraId="51D272F1" w14:textId="11D9ABB4" w:rsidR="00B05CF9" w:rsidRPr="00B05CF9" w:rsidRDefault="00B05CF9" w:rsidP="00B05CF9">
      <w:pPr>
        <w:pStyle w:val="ListParagraph"/>
        <w:numPr>
          <w:ilvl w:val="0"/>
          <w:numId w:val="2"/>
        </w:numPr>
        <w:rPr>
          <w:rFonts w:ascii="Palatino Linotype" w:hAnsi="Palatino Linotype"/>
          <w:sz w:val="22"/>
          <w:szCs w:val="22"/>
          <w:u w:val="single"/>
        </w:rPr>
      </w:pPr>
      <w:r w:rsidRPr="00B05CF9">
        <w:rPr>
          <w:rFonts w:ascii="Palatino Linotype" w:hAnsi="Palatino Linotype"/>
          <w:sz w:val="22"/>
          <w:szCs w:val="22"/>
          <w:u w:val="single"/>
        </w:rPr>
        <w:t>When should our college submit for tuition reimbursement?</w:t>
      </w:r>
    </w:p>
    <w:p w14:paraId="669CE0C5" w14:textId="0CBABC19" w:rsidR="00B05CF9" w:rsidRDefault="00B05CF9" w:rsidP="00B05CF9">
      <w:pPr>
        <w:rPr>
          <w:rFonts w:ascii="Palatino Linotype" w:hAnsi="Palatino Linotype"/>
          <w:sz w:val="22"/>
          <w:szCs w:val="22"/>
        </w:rPr>
      </w:pPr>
    </w:p>
    <w:p w14:paraId="72CEBE08" w14:textId="63A4BA16" w:rsidR="00B05CF9" w:rsidRDefault="00B05CF9" w:rsidP="00B05CF9">
      <w:pPr>
        <w:ind w:left="720"/>
        <w:rPr>
          <w:rFonts w:ascii="Palatino Linotype" w:hAnsi="Palatino Linotype"/>
          <w:sz w:val="22"/>
          <w:szCs w:val="22"/>
        </w:rPr>
      </w:pPr>
      <w:r>
        <w:rPr>
          <w:rFonts w:ascii="Palatino Linotype" w:hAnsi="Palatino Linotype"/>
          <w:sz w:val="22"/>
          <w:szCs w:val="22"/>
        </w:rPr>
        <w:t xml:space="preserve">Please submit based on your college’s policy for dropping classes.  For example, plan to submit for reimbursement the month following the class drop deadline for each class </w:t>
      </w:r>
      <w:proofErr w:type="spellStart"/>
      <w:r>
        <w:rPr>
          <w:rFonts w:ascii="Palatino Linotype" w:hAnsi="Palatino Linotype"/>
          <w:sz w:val="22"/>
          <w:szCs w:val="22"/>
        </w:rPr>
        <w:t>SkillUP</w:t>
      </w:r>
      <w:proofErr w:type="spellEnd"/>
      <w:r>
        <w:rPr>
          <w:rFonts w:ascii="Palatino Linotype" w:hAnsi="Palatino Linotype"/>
          <w:sz w:val="22"/>
          <w:szCs w:val="22"/>
        </w:rPr>
        <w:t xml:space="preserve"> participants are included.  For credit classes, the drop date may be several weeks into the semester.  For non-credit classes, it may be the first day of class.  </w:t>
      </w:r>
    </w:p>
    <w:p w14:paraId="4183DA60" w14:textId="7A5D5C6E" w:rsidR="000408D4" w:rsidRDefault="000408D4" w:rsidP="00B05CF9">
      <w:pPr>
        <w:ind w:left="720"/>
        <w:rPr>
          <w:rFonts w:ascii="Palatino Linotype" w:hAnsi="Palatino Linotype"/>
          <w:sz w:val="22"/>
          <w:szCs w:val="22"/>
        </w:rPr>
      </w:pPr>
    </w:p>
    <w:p w14:paraId="6AAFD3B5" w14:textId="57E3D477" w:rsidR="000408D4" w:rsidRPr="000408D4" w:rsidRDefault="000408D4" w:rsidP="000408D4">
      <w:pPr>
        <w:pStyle w:val="ListParagraph"/>
        <w:numPr>
          <w:ilvl w:val="0"/>
          <w:numId w:val="2"/>
        </w:numPr>
        <w:rPr>
          <w:rFonts w:ascii="Palatino Linotype" w:hAnsi="Palatino Linotype"/>
          <w:sz w:val="22"/>
          <w:szCs w:val="22"/>
          <w:u w:val="single"/>
        </w:rPr>
      </w:pPr>
      <w:r w:rsidRPr="000408D4">
        <w:rPr>
          <w:rFonts w:ascii="Palatino Linotype" w:hAnsi="Palatino Linotype"/>
          <w:sz w:val="22"/>
          <w:szCs w:val="22"/>
          <w:u w:val="single"/>
        </w:rPr>
        <w:t>What if a student drops out of a class and does not return?</w:t>
      </w:r>
    </w:p>
    <w:p w14:paraId="5A5AB59E" w14:textId="6948AA41" w:rsidR="000408D4" w:rsidRDefault="000408D4" w:rsidP="000408D4">
      <w:pPr>
        <w:rPr>
          <w:rFonts w:ascii="Palatino Linotype" w:hAnsi="Palatino Linotype"/>
          <w:sz w:val="22"/>
          <w:szCs w:val="22"/>
        </w:rPr>
      </w:pPr>
    </w:p>
    <w:p w14:paraId="23B86345" w14:textId="47A0BFB9" w:rsidR="000408D4" w:rsidRDefault="000408D4" w:rsidP="000408D4">
      <w:pPr>
        <w:ind w:left="720"/>
        <w:rPr>
          <w:rFonts w:ascii="Palatino Linotype" w:hAnsi="Palatino Linotype"/>
          <w:sz w:val="22"/>
          <w:szCs w:val="22"/>
        </w:rPr>
      </w:pPr>
      <w:r>
        <w:rPr>
          <w:rFonts w:ascii="Palatino Linotype" w:hAnsi="Palatino Linotype"/>
          <w:sz w:val="22"/>
          <w:szCs w:val="22"/>
        </w:rPr>
        <w:t xml:space="preserve">First, you should make every effort to figure out why the individual is unable to attend and mitigate any barriers you can.  If that is not possible and the student drops from the course/program AFTER </w:t>
      </w:r>
      <w:r>
        <w:rPr>
          <w:rFonts w:ascii="Palatino Linotype" w:hAnsi="Palatino Linotype"/>
          <w:sz w:val="22"/>
          <w:szCs w:val="22"/>
        </w:rPr>
        <w:lastRenderedPageBreak/>
        <w:t xml:space="preserve">the drop dates noted above, while the funds do not need to be returned, they can be reused for another student, if possible.  The status of the student needs to be tracked on monthly student reports sent to MCCA, and within that individual’s profile in </w:t>
      </w:r>
      <w:proofErr w:type="spellStart"/>
      <w:r>
        <w:rPr>
          <w:rFonts w:ascii="Palatino Linotype" w:hAnsi="Palatino Linotype"/>
          <w:sz w:val="22"/>
          <w:szCs w:val="22"/>
        </w:rPr>
        <w:t>MoJOBs</w:t>
      </w:r>
      <w:proofErr w:type="spellEnd"/>
      <w:r>
        <w:rPr>
          <w:rFonts w:ascii="Palatino Linotype" w:hAnsi="Palatino Linotype"/>
          <w:sz w:val="22"/>
          <w:szCs w:val="22"/>
        </w:rPr>
        <w:t xml:space="preserve">.  </w:t>
      </w:r>
    </w:p>
    <w:p w14:paraId="43E2D801" w14:textId="76D03955" w:rsidR="009D32F4" w:rsidRPr="009D32F4" w:rsidRDefault="009D32F4" w:rsidP="009D32F4">
      <w:pPr>
        <w:pStyle w:val="ListParagraph"/>
        <w:numPr>
          <w:ilvl w:val="0"/>
          <w:numId w:val="2"/>
        </w:numPr>
        <w:rPr>
          <w:rFonts w:ascii="Palatino Linotype" w:hAnsi="Palatino Linotype"/>
          <w:sz w:val="22"/>
          <w:szCs w:val="22"/>
          <w:u w:val="single"/>
        </w:rPr>
      </w:pPr>
      <w:r w:rsidRPr="009D32F4">
        <w:rPr>
          <w:rFonts w:ascii="Palatino Linotype" w:hAnsi="Palatino Linotype"/>
          <w:sz w:val="22"/>
          <w:szCs w:val="22"/>
          <w:u w:val="single"/>
        </w:rPr>
        <w:t>A student dropped prior to the drop deadline for the course and the college incurred pre-program fees. Can the college request reimbursement for those fees?</w:t>
      </w:r>
    </w:p>
    <w:p w14:paraId="2113271D" w14:textId="77777777" w:rsidR="009D32F4" w:rsidRDefault="009D32F4" w:rsidP="009D32F4">
      <w:pPr>
        <w:rPr>
          <w:rFonts w:ascii="Palatino Linotype" w:hAnsi="Palatino Linotype"/>
          <w:sz w:val="22"/>
          <w:szCs w:val="22"/>
        </w:rPr>
      </w:pPr>
    </w:p>
    <w:p w14:paraId="62F25C07" w14:textId="2E61B0E1" w:rsidR="006F4183" w:rsidRDefault="0032089B" w:rsidP="009D32F4">
      <w:pPr>
        <w:ind w:left="720"/>
        <w:rPr>
          <w:rFonts w:ascii="Palatino Linotype" w:hAnsi="Palatino Linotype"/>
          <w:sz w:val="22"/>
          <w:szCs w:val="22"/>
        </w:rPr>
      </w:pPr>
      <w:proofErr w:type="gramStart"/>
      <w:r>
        <w:rPr>
          <w:rFonts w:ascii="Palatino Linotype" w:hAnsi="Palatino Linotype"/>
          <w:sz w:val="22"/>
          <w:szCs w:val="22"/>
        </w:rPr>
        <w:t>Yes</w:t>
      </w:r>
      <w:proofErr w:type="gramEnd"/>
      <w:r>
        <w:rPr>
          <w:rFonts w:ascii="Palatino Linotype" w:hAnsi="Palatino Linotype"/>
          <w:sz w:val="22"/>
          <w:szCs w:val="22"/>
        </w:rPr>
        <w:t xml:space="preserve"> a college can submit for reimbursement of </w:t>
      </w:r>
      <w:r w:rsidR="006A4DCB">
        <w:rPr>
          <w:rFonts w:ascii="Palatino Linotype" w:hAnsi="Palatino Linotype"/>
          <w:sz w:val="22"/>
          <w:szCs w:val="22"/>
        </w:rPr>
        <w:t>fees which are</w:t>
      </w:r>
      <w:r w:rsidR="00207143">
        <w:rPr>
          <w:rFonts w:ascii="Palatino Linotype" w:hAnsi="Palatino Linotype"/>
          <w:sz w:val="22"/>
          <w:szCs w:val="22"/>
        </w:rPr>
        <w:t xml:space="preserve"> required before beginning class</w:t>
      </w:r>
      <w:r w:rsidR="00AD60F9">
        <w:rPr>
          <w:rFonts w:ascii="Palatino Linotype" w:hAnsi="Palatino Linotype"/>
          <w:sz w:val="22"/>
          <w:szCs w:val="22"/>
        </w:rPr>
        <w:t xml:space="preserve"> as long as employers require it for all employees before hire</w:t>
      </w:r>
      <w:r w:rsidR="00681F8B">
        <w:rPr>
          <w:rFonts w:ascii="Palatino Linotype" w:hAnsi="Palatino Linotype"/>
          <w:sz w:val="22"/>
          <w:szCs w:val="22"/>
        </w:rPr>
        <w:t xml:space="preserve"> OR it is a requirement to take the course.</w:t>
      </w:r>
      <w:r w:rsidR="00FD27CC">
        <w:rPr>
          <w:rFonts w:ascii="Palatino Linotype" w:hAnsi="Palatino Linotype"/>
          <w:sz w:val="22"/>
          <w:szCs w:val="22"/>
        </w:rPr>
        <w:t xml:space="preserve"> </w:t>
      </w:r>
      <w:r w:rsidR="00D9454D">
        <w:rPr>
          <w:rFonts w:ascii="Palatino Linotype" w:hAnsi="Palatino Linotype"/>
          <w:sz w:val="22"/>
          <w:szCs w:val="22"/>
        </w:rPr>
        <w:t>In order to be considered for reimbursement, t</w:t>
      </w:r>
      <w:r w:rsidR="009857A0">
        <w:rPr>
          <w:rFonts w:ascii="Palatino Linotype" w:hAnsi="Palatino Linotype"/>
          <w:sz w:val="22"/>
          <w:szCs w:val="22"/>
        </w:rPr>
        <w:t xml:space="preserve">hese fees </w:t>
      </w:r>
      <w:r w:rsidR="00FD27CC">
        <w:rPr>
          <w:rFonts w:ascii="Palatino Linotype" w:hAnsi="Palatino Linotype"/>
          <w:sz w:val="22"/>
          <w:szCs w:val="22"/>
        </w:rPr>
        <w:t xml:space="preserve">may </w:t>
      </w:r>
      <w:r w:rsidR="00A5557B">
        <w:rPr>
          <w:rFonts w:ascii="Palatino Linotype" w:hAnsi="Palatino Linotype"/>
          <w:sz w:val="22"/>
          <w:szCs w:val="22"/>
        </w:rPr>
        <w:t xml:space="preserve">or may not </w:t>
      </w:r>
      <w:r w:rsidR="009857A0">
        <w:rPr>
          <w:rFonts w:ascii="Palatino Linotype" w:hAnsi="Palatino Linotype"/>
          <w:sz w:val="22"/>
          <w:szCs w:val="22"/>
        </w:rPr>
        <w:t>be included as part of the tuition</w:t>
      </w:r>
      <w:r w:rsidR="00A5557B">
        <w:rPr>
          <w:rFonts w:ascii="Palatino Linotype" w:hAnsi="Palatino Linotype"/>
          <w:sz w:val="22"/>
          <w:szCs w:val="22"/>
        </w:rPr>
        <w:t>.</w:t>
      </w:r>
    </w:p>
    <w:p w14:paraId="2CED429F" w14:textId="2521897B" w:rsidR="005A5891" w:rsidRDefault="005A5891" w:rsidP="009D32F4">
      <w:pPr>
        <w:ind w:left="720"/>
        <w:rPr>
          <w:rFonts w:ascii="Palatino Linotype" w:hAnsi="Palatino Linotype"/>
          <w:sz w:val="22"/>
          <w:szCs w:val="22"/>
        </w:rPr>
      </w:pPr>
    </w:p>
    <w:p w14:paraId="12A4049C" w14:textId="2A09CC2A" w:rsidR="005A5891" w:rsidRDefault="005A5891" w:rsidP="009D32F4">
      <w:pPr>
        <w:ind w:left="720"/>
        <w:rPr>
          <w:rFonts w:ascii="Palatino Linotype" w:hAnsi="Palatino Linotype"/>
          <w:sz w:val="22"/>
          <w:szCs w:val="22"/>
        </w:rPr>
      </w:pPr>
      <w:r>
        <w:rPr>
          <w:rFonts w:ascii="Palatino Linotype" w:hAnsi="Palatino Linotype"/>
          <w:sz w:val="22"/>
          <w:szCs w:val="22"/>
        </w:rPr>
        <w:t xml:space="preserve">Fees may </w:t>
      </w:r>
      <w:proofErr w:type="gramStart"/>
      <w:r>
        <w:rPr>
          <w:rFonts w:ascii="Palatino Linotype" w:hAnsi="Palatino Linotype"/>
          <w:sz w:val="22"/>
          <w:szCs w:val="22"/>
        </w:rPr>
        <w:t>include:</w:t>
      </w:r>
      <w:proofErr w:type="gramEnd"/>
      <w:r>
        <w:rPr>
          <w:rFonts w:ascii="Palatino Linotype" w:hAnsi="Palatino Linotype"/>
          <w:sz w:val="22"/>
          <w:szCs w:val="22"/>
        </w:rPr>
        <w:t xml:space="preserve"> drug testing, background checks, finger printing, </w:t>
      </w:r>
      <w:r w:rsidR="00C31B8D">
        <w:rPr>
          <w:rFonts w:ascii="Palatino Linotype" w:hAnsi="Palatino Linotype"/>
          <w:sz w:val="22"/>
          <w:szCs w:val="22"/>
        </w:rPr>
        <w:t>uniforms, tools and equipment</w:t>
      </w:r>
      <w:r w:rsidR="00E329AE">
        <w:rPr>
          <w:rFonts w:ascii="Palatino Linotype" w:hAnsi="Palatino Linotype"/>
          <w:sz w:val="22"/>
          <w:szCs w:val="22"/>
        </w:rPr>
        <w:t>, and books</w:t>
      </w:r>
      <w:r w:rsidR="00D9273B">
        <w:rPr>
          <w:rFonts w:ascii="Palatino Linotype" w:hAnsi="Palatino Linotype"/>
          <w:sz w:val="22"/>
          <w:szCs w:val="22"/>
        </w:rPr>
        <w:t>.</w:t>
      </w:r>
    </w:p>
    <w:p w14:paraId="4217C48C" w14:textId="77777777" w:rsidR="006F4183" w:rsidRDefault="006F4183" w:rsidP="009D32F4">
      <w:pPr>
        <w:ind w:left="720"/>
        <w:rPr>
          <w:rFonts w:ascii="Palatino Linotype" w:hAnsi="Palatino Linotype"/>
          <w:sz w:val="22"/>
          <w:szCs w:val="22"/>
        </w:rPr>
      </w:pPr>
    </w:p>
    <w:p w14:paraId="1296B51B" w14:textId="5E13D33A" w:rsidR="009857A0" w:rsidRDefault="00FD27CC" w:rsidP="009D32F4">
      <w:pPr>
        <w:ind w:left="720"/>
        <w:rPr>
          <w:rFonts w:ascii="Palatino Linotype" w:hAnsi="Palatino Linotype"/>
          <w:sz w:val="22"/>
          <w:szCs w:val="22"/>
        </w:rPr>
      </w:pPr>
      <w:r>
        <w:rPr>
          <w:rFonts w:ascii="Palatino Linotype" w:hAnsi="Palatino Linotype"/>
          <w:sz w:val="22"/>
          <w:szCs w:val="22"/>
        </w:rPr>
        <w:t>T</w:t>
      </w:r>
      <w:r w:rsidR="00415876">
        <w:rPr>
          <w:rFonts w:ascii="Palatino Linotype" w:hAnsi="Palatino Linotype"/>
          <w:sz w:val="22"/>
          <w:szCs w:val="22"/>
        </w:rPr>
        <w:t xml:space="preserve">o document this in </w:t>
      </w:r>
      <w:proofErr w:type="spellStart"/>
      <w:r w:rsidR="00415876">
        <w:rPr>
          <w:rFonts w:ascii="Palatino Linotype" w:hAnsi="Palatino Linotype"/>
          <w:sz w:val="22"/>
          <w:szCs w:val="22"/>
        </w:rPr>
        <w:t>MoJOBs</w:t>
      </w:r>
      <w:proofErr w:type="spellEnd"/>
      <w:r w:rsidR="00415876">
        <w:rPr>
          <w:rFonts w:ascii="Palatino Linotype" w:hAnsi="Palatino Linotype"/>
          <w:sz w:val="22"/>
          <w:szCs w:val="22"/>
        </w:rPr>
        <w:t xml:space="preserve">, the college must enter a case note that includes details </w:t>
      </w:r>
      <w:r w:rsidR="00E329AE">
        <w:rPr>
          <w:rFonts w:ascii="Palatino Linotype" w:hAnsi="Palatino Linotype"/>
          <w:sz w:val="22"/>
          <w:szCs w:val="22"/>
        </w:rPr>
        <w:t xml:space="preserve">about </w:t>
      </w:r>
      <w:r w:rsidR="002D6661">
        <w:rPr>
          <w:rFonts w:ascii="Palatino Linotype" w:hAnsi="Palatino Linotype"/>
          <w:sz w:val="22"/>
          <w:szCs w:val="22"/>
        </w:rPr>
        <w:t>what is being paid for, the amount,</w:t>
      </w:r>
      <w:r w:rsidR="00E329AE">
        <w:rPr>
          <w:rFonts w:ascii="Palatino Linotype" w:hAnsi="Palatino Linotype"/>
          <w:sz w:val="22"/>
          <w:szCs w:val="22"/>
        </w:rPr>
        <w:t xml:space="preserve"> the training it is</w:t>
      </w:r>
      <w:r w:rsidR="002D6661">
        <w:rPr>
          <w:rFonts w:ascii="Palatino Linotype" w:hAnsi="Palatino Linotype"/>
          <w:sz w:val="22"/>
          <w:szCs w:val="22"/>
        </w:rPr>
        <w:t xml:space="preserve"> </w:t>
      </w:r>
      <w:r w:rsidR="003D0B6C">
        <w:rPr>
          <w:rFonts w:ascii="Palatino Linotype" w:hAnsi="Palatino Linotype"/>
          <w:sz w:val="22"/>
          <w:szCs w:val="22"/>
        </w:rPr>
        <w:t xml:space="preserve">for, when the training begins, </w:t>
      </w:r>
      <w:r w:rsidR="002D6661">
        <w:rPr>
          <w:rFonts w:ascii="Palatino Linotype" w:hAnsi="Palatino Linotype"/>
          <w:sz w:val="22"/>
          <w:szCs w:val="22"/>
        </w:rPr>
        <w:t xml:space="preserve">why it is necessary (as part of the training or required for employment) and </w:t>
      </w:r>
      <w:r w:rsidR="0041283C">
        <w:rPr>
          <w:rFonts w:ascii="Palatino Linotype" w:hAnsi="Palatino Linotype"/>
          <w:sz w:val="22"/>
          <w:szCs w:val="22"/>
        </w:rPr>
        <w:t xml:space="preserve">that it is required to be done prior to the beginning of training. </w:t>
      </w:r>
      <w:r w:rsidR="003D0B6C">
        <w:rPr>
          <w:rFonts w:ascii="Palatino Linotype" w:hAnsi="Palatino Linotype"/>
          <w:sz w:val="22"/>
          <w:szCs w:val="22"/>
        </w:rPr>
        <w:t xml:space="preserve"> T</w:t>
      </w:r>
      <w:r>
        <w:rPr>
          <w:rFonts w:ascii="Palatino Linotype" w:hAnsi="Palatino Linotype"/>
          <w:sz w:val="22"/>
          <w:szCs w:val="22"/>
        </w:rPr>
        <w:t xml:space="preserve">he participant must also be enrolled in the </w:t>
      </w:r>
      <w:proofErr w:type="spellStart"/>
      <w:r>
        <w:rPr>
          <w:rFonts w:ascii="Palatino Linotype" w:hAnsi="Palatino Linotype"/>
          <w:sz w:val="22"/>
          <w:szCs w:val="22"/>
        </w:rPr>
        <w:t>SkillUP</w:t>
      </w:r>
      <w:proofErr w:type="spellEnd"/>
      <w:r>
        <w:rPr>
          <w:rFonts w:ascii="Palatino Linotype" w:hAnsi="Palatino Linotype"/>
          <w:sz w:val="22"/>
          <w:szCs w:val="22"/>
        </w:rPr>
        <w:t xml:space="preserve"> training activity in </w:t>
      </w:r>
      <w:proofErr w:type="spellStart"/>
      <w:r>
        <w:rPr>
          <w:rFonts w:ascii="Palatino Linotype" w:hAnsi="Palatino Linotype"/>
          <w:sz w:val="22"/>
          <w:szCs w:val="22"/>
        </w:rPr>
        <w:t>MoJOBs</w:t>
      </w:r>
      <w:proofErr w:type="spellEnd"/>
      <w:r>
        <w:rPr>
          <w:rFonts w:ascii="Palatino Linotype" w:hAnsi="Palatino Linotype"/>
          <w:sz w:val="22"/>
          <w:szCs w:val="22"/>
        </w:rPr>
        <w:t>.</w:t>
      </w:r>
      <w:r w:rsidR="003D0B6C">
        <w:rPr>
          <w:rFonts w:ascii="Palatino Linotype" w:hAnsi="Palatino Linotype"/>
          <w:sz w:val="22"/>
          <w:szCs w:val="22"/>
        </w:rPr>
        <w:t xml:space="preserve"> </w:t>
      </w:r>
    </w:p>
    <w:p w14:paraId="575B01A6" w14:textId="595B16D8" w:rsidR="007C5507" w:rsidRDefault="007C5507" w:rsidP="009D32F4">
      <w:pPr>
        <w:ind w:left="720"/>
        <w:rPr>
          <w:rFonts w:ascii="Palatino Linotype" w:hAnsi="Palatino Linotype"/>
          <w:sz w:val="22"/>
          <w:szCs w:val="22"/>
        </w:rPr>
      </w:pPr>
    </w:p>
    <w:p w14:paraId="168838A2" w14:textId="5FDACCCA" w:rsidR="007C5507" w:rsidRDefault="007C5507" w:rsidP="009D32F4">
      <w:pPr>
        <w:ind w:left="720"/>
        <w:rPr>
          <w:rFonts w:ascii="Palatino Linotype" w:hAnsi="Palatino Linotype"/>
          <w:sz w:val="22"/>
          <w:szCs w:val="22"/>
        </w:rPr>
      </w:pPr>
      <w:r>
        <w:rPr>
          <w:rFonts w:ascii="Palatino Linotype" w:hAnsi="Palatino Linotype"/>
          <w:sz w:val="22"/>
          <w:szCs w:val="22"/>
        </w:rPr>
        <w:t xml:space="preserve">When the participant drops out of the course, even if it is prior to the beginning of training, but after the </w:t>
      </w:r>
      <w:proofErr w:type="gramStart"/>
      <w:r>
        <w:rPr>
          <w:rFonts w:ascii="Palatino Linotype" w:hAnsi="Palatino Linotype"/>
          <w:sz w:val="22"/>
          <w:szCs w:val="22"/>
        </w:rPr>
        <w:t>pre-programs</w:t>
      </w:r>
      <w:proofErr w:type="gramEnd"/>
      <w:r>
        <w:rPr>
          <w:rFonts w:ascii="Palatino Linotype" w:hAnsi="Palatino Linotype"/>
          <w:sz w:val="22"/>
          <w:szCs w:val="22"/>
        </w:rPr>
        <w:t xml:space="preserve"> items have been completed, the </w:t>
      </w:r>
      <w:r w:rsidR="00310C6F">
        <w:rPr>
          <w:rFonts w:ascii="Palatino Linotype" w:hAnsi="Palatino Linotype"/>
          <w:sz w:val="22"/>
          <w:szCs w:val="22"/>
        </w:rPr>
        <w:t>training activity will need to be completed unsuccessfully.</w:t>
      </w:r>
    </w:p>
    <w:p w14:paraId="561A040F" w14:textId="77777777" w:rsidR="009857A0" w:rsidRDefault="009857A0" w:rsidP="009D32F4">
      <w:pPr>
        <w:ind w:left="720"/>
        <w:rPr>
          <w:rFonts w:ascii="Palatino Linotype" w:hAnsi="Palatino Linotype"/>
          <w:sz w:val="22"/>
          <w:szCs w:val="22"/>
        </w:rPr>
      </w:pPr>
    </w:p>
    <w:p w14:paraId="00D2AC74" w14:textId="59F4C158" w:rsidR="00FD27CC" w:rsidRDefault="009857A0" w:rsidP="009D32F4">
      <w:pPr>
        <w:ind w:left="720"/>
        <w:rPr>
          <w:rFonts w:ascii="Palatino Linotype" w:hAnsi="Palatino Linotype"/>
          <w:sz w:val="22"/>
          <w:szCs w:val="22"/>
        </w:rPr>
      </w:pPr>
      <w:r>
        <w:rPr>
          <w:rFonts w:ascii="Palatino Linotype" w:hAnsi="Palatino Linotype"/>
          <w:sz w:val="22"/>
          <w:szCs w:val="22"/>
        </w:rPr>
        <w:t xml:space="preserve">To request reimbursement, the school should submit documentation </w:t>
      </w:r>
      <w:r w:rsidR="00207143">
        <w:rPr>
          <w:rFonts w:ascii="Palatino Linotype" w:hAnsi="Palatino Linotype"/>
          <w:sz w:val="22"/>
          <w:szCs w:val="22"/>
        </w:rPr>
        <w:t>that the testing was done and paid for</w:t>
      </w:r>
      <w:r w:rsidR="00D9454D">
        <w:rPr>
          <w:rFonts w:ascii="Palatino Linotype" w:hAnsi="Palatino Linotype"/>
          <w:sz w:val="22"/>
          <w:szCs w:val="22"/>
        </w:rPr>
        <w:t xml:space="preserve"> by the institution</w:t>
      </w:r>
      <w:r w:rsidR="00207143">
        <w:rPr>
          <w:rFonts w:ascii="Palatino Linotype" w:hAnsi="Palatino Linotype"/>
          <w:sz w:val="22"/>
          <w:szCs w:val="22"/>
        </w:rPr>
        <w:t xml:space="preserve">. </w:t>
      </w:r>
      <w:r w:rsidR="00B67FEA">
        <w:rPr>
          <w:rFonts w:ascii="Palatino Linotype" w:hAnsi="Palatino Linotype"/>
          <w:sz w:val="22"/>
          <w:szCs w:val="22"/>
        </w:rPr>
        <w:t xml:space="preserve"> </w:t>
      </w:r>
    </w:p>
    <w:p w14:paraId="1DAA2C81" w14:textId="247A1B0B" w:rsidR="00310C6F" w:rsidRDefault="00310C6F" w:rsidP="009D32F4">
      <w:pPr>
        <w:ind w:left="720"/>
        <w:rPr>
          <w:rFonts w:ascii="Palatino Linotype" w:hAnsi="Palatino Linotype"/>
          <w:sz w:val="22"/>
          <w:szCs w:val="22"/>
        </w:rPr>
      </w:pPr>
    </w:p>
    <w:p w14:paraId="7B6C4817" w14:textId="0D014D6C" w:rsidR="00310C6F" w:rsidRDefault="00310C6F" w:rsidP="009D32F4">
      <w:pPr>
        <w:ind w:left="720"/>
        <w:rPr>
          <w:rFonts w:ascii="Palatino Linotype" w:hAnsi="Palatino Linotype"/>
          <w:sz w:val="22"/>
          <w:szCs w:val="22"/>
        </w:rPr>
      </w:pPr>
      <w:r>
        <w:rPr>
          <w:rFonts w:ascii="Palatino Linotype" w:hAnsi="Palatino Linotype"/>
          <w:sz w:val="22"/>
          <w:szCs w:val="22"/>
        </w:rPr>
        <w:t xml:space="preserve">FSD will verify in </w:t>
      </w:r>
      <w:proofErr w:type="spellStart"/>
      <w:r>
        <w:rPr>
          <w:rFonts w:ascii="Palatino Linotype" w:hAnsi="Palatino Linotype"/>
          <w:sz w:val="22"/>
          <w:szCs w:val="22"/>
        </w:rPr>
        <w:t>MoJOBs</w:t>
      </w:r>
      <w:proofErr w:type="spellEnd"/>
      <w:r>
        <w:rPr>
          <w:rFonts w:ascii="Palatino Linotype" w:hAnsi="Palatino Linotype"/>
          <w:sz w:val="22"/>
          <w:szCs w:val="22"/>
        </w:rPr>
        <w:t xml:space="preserve"> that the individual was </w:t>
      </w:r>
      <w:r w:rsidR="00346999">
        <w:rPr>
          <w:rFonts w:ascii="Palatino Linotype" w:hAnsi="Palatino Linotype"/>
          <w:sz w:val="22"/>
          <w:szCs w:val="22"/>
        </w:rPr>
        <w:t xml:space="preserve">enrolled in the training activity and look at the case notes to </w:t>
      </w:r>
      <w:r w:rsidR="00540D90">
        <w:rPr>
          <w:rFonts w:ascii="Palatino Linotype" w:hAnsi="Palatino Linotype"/>
          <w:sz w:val="22"/>
          <w:szCs w:val="22"/>
        </w:rPr>
        <w:t>approve the reimbursement request.</w:t>
      </w:r>
    </w:p>
    <w:p w14:paraId="6FD9FD74" w14:textId="77777777" w:rsidR="00FD27CC" w:rsidRDefault="00FD27CC" w:rsidP="009D32F4">
      <w:pPr>
        <w:ind w:left="720"/>
        <w:rPr>
          <w:rFonts w:ascii="Palatino Linotype" w:hAnsi="Palatino Linotype"/>
          <w:sz w:val="22"/>
          <w:szCs w:val="22"/>
        </w:rPr>
      </w:pPr>
    </w:p>
    <w:p w14:paraId="6F8BFE75" w14:textId="77777777" w:rsidR="004459C5" w:rsidRDefault="004459C5" w:rsidP="004459C5">
      <w:pPr>
        <w:pStyle w:val="ListParagraph"/>
        <w:numPr>
          <w:ilvl w:val="0"/>
          <w:numId w:val="2"/>
        </w:numPr>
        <w:rPr>
          <w:rFonts w:ascii="Palatino Linotype" w:hAnsi="Palatino Linotype"/>
          <w:sz w:val="22"/>
          <w:szCs w:val="22"/>
          <w:u w:val="single"/>
        </w:rPr>
      </w:pPr>
      <w:r w:rsidRPr="002878A4">
        <w:rPr>
          <w:rFonts w:ascii="Palatino Linotype" w:hAnsi="Palatino Linotype"/>
          <w:sz w:val="22"/>
          <w:szCs w:val="22"/>
          <w:u w:val="single"/>
        </w:rPr>
        <w:t>Which colleges will be able to charge indirect costs to this grant?</w:t>
      </w:r>
    </w:p>
    <w:p w14:paraId="68ADC437" w14:textId="77777777" w:rsidR="004459C5" w:rsidRPr="002878A4" w:rsidRDefault="004459C5" w:rsidP="004459C5">
      <w:pPr>
        <w:pStyle w:val="ListParagraph"/>
        <w:rPr>
          <w:rFonts w:ascii="Palatino Linotype" w:hAnsi="Palatino Linotype"/>
          <w:sz w:val="22"/>
          <w:szCs w:val="22"/>
          <w:u w:val="single"/>
        </w:rPr>
      </w:pPr>
    </w:p>
    <w:p w14:paraId="6D4D599B" w14:textId="0C681B9F" w:rsidR="004459C5" w:rsidRDefault="004459C5" w:rsidP="004459C5">
      <w:pPr>
        <w:pStyle w:val="ListParagraph"/>
        <w:rPr>
          <w:rFonts w:ascii="Palatino Linotype" w:hAnsi="Palatino Linotype"/>
          <w:sz w:val="22"/>
          <w:szCs w:val="22"/>
        </w:rPr>
      </w:pPr>
      <w:r w:rsidRPr="002878A4">
        <w:rPr>
          <w:rFonts w:ascii="Palatino Linotype" w:hAnsi="Palatino Linotype"/>
          <w:sz w:val="22"/>
          <w:szCs w:val="22"/>
        </w:rPr>
        <w:t xml:space="preserve">If you have an approved indirect cost rate, then you can claim indirect costs on this grant. OTC will need a copy of your approved indirect costs rate. </w:t>
      </w:r>
    </w:p>
    <w:p w14:paraId="10F86693" w14:textId="2483D7A4" w:rsidR="00AE0398" w:rsidRDefault="00AE0398" w:rsidP="004459C5">
      <w:pPr>
        <w:pStyle w:val="ListParagraph"/>
        <w:rPr>
          <w:rFonts w:ascii="Palatino Linotype" w:hAnsi="Palatino Linotype"/>
          <w:sz w:val="22"/>
          <w:szCs w:val="22"/>
        </w:rPr>
      </w:pPr>
    </w:p>
    <w:p w14:paraId="70F477EE" w14:textId="6EAD1F22" w:rsidR="00AE0398" w:rsidRDefault="000707B6" w:rsidP="004459C5">
      <w:pPr>
        <w:pStyle w:val="ListParagraph"/>
        <w:rPr>
          <w:rFonts w:ascii="Palatino Linotype" w:hAnsi="Palatino Linotype"/>
          <w:sz w:val="22"/>
          <w:szCs w:val="22"/>
        </w:rPr>
      </w:pPr>
      <w:r>
        <w:rPr>
          <w:rFonts w:ascii="Palatino Linotype" w:hAnsi="Palatino Linotype"/>
          <w:sz w:val="22"/>
          <w:szCs w:val="22"/>
        </w:rPr>
        <w:t>Participating colleges that do not have an indirect rate agreement will receive a 10% reimbursement of total administrative program costs.</w:t>
      </w:r>
    </w:p>
    <w:p w14:paraId="1530BB8C" w14:textId="77777777" w:rsidR="002878A4" w:rsidRPr="002878A4" w:rsidRDefault="002878A4" w:rsidP="006205FC">
      <w:pPr>
        <w:pStyle w:val="ListParagraph"/>
        <w:rPr>
          <w:rFonts w:ascii="Palatino Linotype" w:hAnsi="Palatino Linotype"/>
          <w:sz w:val="22"/>
          <w:szCs w:val="22"/>
        </w:rPr>
      </w:pPr>
    </w:p>
    <w:p w14:paraId="1BBD0DC0" w14:textId="546464FF" w:rsidR="006205FC" w:rsidRPr="002878A4" w:rsidRDefault="006205FC" w:rsidP="006205FC">
      <w:pPr>
        <w:pStyle w:val="ListParagraph"/>
        <w:numPr>
          <w:ilvl w:val="0"/>
          <w:numId w:val="2"/>
        </w:numPr>
        <w:rPr>
          <w:rFonts w:ascii="Palatino Linotype" w:hAnsi="Palatino Linotype"/>
          <w:sz w:val="22"/>
          <w:szCs w:val="22"/>
          <w:u w:val="single"/>
        </w:rPr>
      </w:pPr>
      <w:r w:rsidRPr="002878A4">
        <w:rPr>
          <w:rFonts w:ascii="Palatino Linotype" w:hAnsi="Palatino Linotype"/>
          <w:sz w:val="22"/>
          <w:szCs w:val="22"/>
          <w:u w:val="single"/>
        </w:rPr>
        <w:t xml:space="preserve">How do we show personnel time that is to be billed to the </w:t>
      </w:r>
      <w:proofErr w:type="spellStart"/>
      <w:r w:rsidRPr="002878A4">
        <w:rPr>
          <w:rFonts w:ascii="Palatino Linotype" w:hAnsi="Palatino Linotype"/>
          <w:sz w:val="22"/>
          <w:szCs w:val="22"/>
          <w:u w:val="single"/>
        </w:rPr>
        <w:t>SkillUP</w:t>
      </w:r>
      <w:proofErr w:type="spellEnd"/>
      <w:r w:rsidRPr="002878A4">
        <w:rPr>
          <w:rFonts w:ascii="Palatino Linotype" w:hAnsi="Palatino Linotype"/>
          <w:sz w:val="22"/>
          <w:szCs w:val="22"/>
          <w:u w:val="single"/>
        </w:rPr>
        <w:t xml:space="preserve"> Grant? </w:t>
      </w:r>
    </w:p>
    <w:p w14:paraId="3EC533E0" w14:textId="77777777" w:rsidR="006205FC" w:rsidRPr="002878A4" w:rsidRDefault="006205FC" w:rsidP="006205FC">
      <w:pPr>
        <w:rPr>
          <w:rFonts w:ascii="Palatino Linotype" w:hAnsi="Palatino Linotype"/>
          <w:sz w:val="22"/>
          <w:szCs w:val="22"/>
          <w:u w:val="single"/>
        </w:rPr>
      </w:pPr>
    </w:p>
    <w:p w14:paraId="0206AB24" w14:textId="78625D79" w:rsidR="00D55AB1" w:rsidRPr="002878A4" w:rsidRDefault="006205FC" w:rsidP="00D55247">
      <w:pPr>
        <w:pStyle w:val="ListParagraph"/>
        <w:rPr>
          <w:rFonts w:ascii="Palatino Linotype" w:hAnsi="Palatino Linotype"/>
          <w:sz w:val="22"/>
          <w:szCs w:val="22"/>
        </w:rPr>
      </w:pPr>
      <w:r w:rsidRPr="002878A4">
        <w:rPr>
          <w:rFonts w:ascii="Palatino Linotype" w:hAnsi="Palatino Linotype"/>
          <w:sz w:val="22"/>
          <w:szCs w:val="22"/>
        </w:rPr>
        <w:t xml:space="preserve">OTC will need a completed monthly time and effort report to justify personnel costs that are being allocated to the grant. If you have a form that you are currently using for other federal grants, this </w:t>
      </w:r>
      <w:r w:rsidRPr="002878A4">
        <w:rPr>
          <w:rFonts w:ascii="Palatino Linotype" w:hAnsi="Palatino Linotype"/>
          <w:sz w:val="22"/>
          <w:szCs w:val="22"/>
        </w:rPr>
        <w:lastRenderedPageBreak/>
        <w:t xml:space="preserve">should be acceptable as long as it provides all of the detail needed for the </w:t>
      </w:r>
      <w:proofErr w:type="spellStart"/>
      <w:r w:rsidRPr="002878A4">
        <w:rPr>
          <w:rFonts w:ascii="Palatino Linotype" w:hAnsi="Palatino Linotype"/>
          <w:sz w:val="22"/>
          <w:szCs w:val="22"/>
        </w:rPr>
        <w:t>SkillUP</w:t>
      </w:r>
      <w:proofErr w:type="spellEnd"/>
      <w:r w:rsidRPr="002878A4">
        <w:rPr>
          <w:rFonts w:ascii="Palatino Linotype" w:hAnsi="Palatino Linotype"/>
          <w:sz w:val="22"/>
          <w:szCs w:val="22"/>
        </w:rPr>
        <w:t xml:space="preserve"> grant. </w:t>
      </w:r>
      <w:r w:rsidR="00D55247" w:rsidRPr="002878A4">
        <w:rPr>
          <w:rFonts w:ascii="Palatino Linotype" w:hAnsi="Palatino Linotype"/>
          <w:sz w:val="22"/>
          <w:szCs w:val="22"/>
        </w:rPr>
        <w:t>We have provided a sample time and effort form to use if your college does not currently have one in place.</w:t>
      </w:r>
    </w:p>
    <w:p w14:paraId="65B17364" w14:textId="77777777" w:rsidR="000408D4" w:rsidRPr="002878A4" w:rsidRDefault="000408D4" w:rsidP="00D55247">
      <w:pPr>
        <w:pStyle w:val="ListParagraph"/>
        <w:rPr>
          <w:rFonts w:ascii="Palatino Linotype" w:hAnsi="Palatino Linotype"/>
          <w:sz w:val="22"/>
          <w:szCs w:val="22"/>
        </w:rPr>
      </w:pPr>
    </w:p>
    <w:p w14:paraId="15FCF94C" w14:textId="31AB7256" w:rsidR="00D55247" w:rsidRPr="002878A4" w:rsidRDefault="00D55247" w:rsidP="00D55247">
      <w:pPr>
        <w:pStyle w:val="ListParagraph"/>
        <w:numPr>
          <w:ilvl w:val="0"/>
          <w:numId w:val="2"/>
        </w:numPr>
        <w:spacing w:after="240"/>
        <w:rPr>
          <w:rFonts w:ascii="Palatino Linotype" w:hAnsi="Palatino Linotype"/>
          <w:sz w:val="22"/>
          <w:szCs w:val="22"/>
          <w:u w:val="single"/>
        </w:rPr>
      </w:pPr>
      <w:r w:rsidRPr="002878A4">
        <w:rPr>
          <w:rFonts w:ascii="Palatino Linotype" w:hAnsi="Palatino Linotype"/>
          <w:sz w:val="22"/>
          <w:szCs w:val="22"/>
          <w:u w:val="single"/>
        </w:rPr>
        <w:t xml:space="preserve">If we are offering a class that contains </w:t>
      </w:r>
      <w:proofErr w:type="spellStart"/>
      <w:r w:rsidRPr="002878A4">
        <w:rPr>
          <w:rFonts w:ascii="Palatino Linotype" w:hAnsi="Palatino Linotype"/>
          <w:sz w:val="22"/>
          <w:szCs w:val="22"/>
          <w:u w:val="single"/>
        </w:rPr>
        <w:t>SkillUP</w:t>
      </w:r>
      <w:proofErr w:type="spellEnd"/>
      <w:r w:rsidRPr="002878A4">
        <w:rPr>
          <w:rFonts w:ascii="Palatino Linotype" w:hAnsi="Palatino Linotype"/>
          <w:sz w:val="22"/>
          <w:szCs w:val="22"/>
          <w:u w:val="single"/>
        </w:rPr>
        <w:t xml:space="preserve"> program participants </w:t>
      </w:r>
      <w:proofErr w:type="gramStart"/>
      <w:r w:rsidRPr="002878A4">
        <w:rPr>
          <w:rFonts w:ascii="Palatino Linotype" w:hAnsi="Palatino Linotype"/>
          <w:sz w:val="22"/>
          <w:szCs w:val="22"/>
          <w:u w:val="single"/>
        </w:rPr>
        <w:t>and also</w:t>
      </w:r>
      <w:proofErr w:type="gramEnd"/>
      <w:r w:rsidRPr="002878A4">
        <w:rPr>
          <w:rFonts w:ascii="Palatino Linotype" w:hAnsi="Palatino Linotype"/>
          <w:sz w:val="22"/>
          <w:szCs w:val="22"/>
          <w:u w:val="single"/>
        </w:rPr>
        <w:t xml:space="preserve"> contains other students, how would we allocate costs to charge to the grant?</w:t>
      </w:r>
    </w:p>
    <w:p w14:paraId="24F49873" w14:textId="0562E978" w:rsidR="00D55247" w:rsidRPr="002878A4" w:rsidRDefault="0060398A" w:rsidP="00D55247">
      <w:pPr>
        <w:spacing w:after="240"/>
        <w:ind w:left="720"/>
        <w:rPr>
          <w:rFonts w:ascii="Palatino Linotype" w:hAnsi="Palatino Linotype"/>
          <w:sz w:val="22"/>
          <w:szCs w:val="22"/>
        </w:rPr>
      </w:pPr>
      <w:r>
        <w:rPr>
          <w:rFonts w:ascii="Palatino Linotype" w:hAnsi="Palatino Linotype"/>
          <w:sz w:val="22"/>
          <w:szCs w:val="22"/>
        </w:rPr>
        <w:t xml:space="preserve">As a rule, instructor fees are already included in tuition.  Requesting reimbursement for </w:t>
      </w:r>
      <w:r w:rsidR="00DD551E">
        <w:rPr>
          <w:rFonts w:ascii="Palatino Linotype" w:hAnsi="Palatino Linotype"/>
          <w:sz w:val="22"/>
          <w:szCs w:val="22"/>
        </w:rPr>
        <w:t xml:space="preserve">those fees would technically constitute </w:t>
      </w:r>
      <w:r w:rsidR="00EE4681">
        <w:rPr>
          <w:rFonts w:ascii="Palatino Linotype" w:hAnsi="Palatino Linotype"/>
          <w:sz w:val="22"/>
          <w:szCs w:val="22"/>
        </w:rPr>
        <w:t xml:space="preserve">double </w:t>
      </w:r>
      <w:r w:rsidR="00B14C45">
        <w:rPr>
          <w:rFonts w:ascii="Palatino Linotype" w:hAnsi="Palatino Linotype"/>
          <w:sz w:val="22"/>
          <w:szCs w:val="22"/>
        </w:rPr>
        <w:t xml:space="preserve">dipping. </w:t>
      </w:r>
      <w:r w:rsidR="006F4220">
        <w:rPr>
          <w:rFonts w:ascii="Palatino Linotype" w:hAnsi="Palatino Linotype"/>
          <w:sz w:val="22"/>
          <w:szCs w:val="22"/>
        </w:rPr>
        <w:t xml:space="preserve"> However, p</w:t>
      </w:r>
      <w:r w:rsidR="00D55247" w:rsidRPr="002878A4">
        <w:rPr>
          <w:rFonts w:ascii="Palatino Linotype" w:hAnsi="Palatino Linotype"/>
          <w:sz w:val="22"/>
          <w:szCs w:val="22"/>
        </w:rPr>
        <w:t xml:space="preserve">roration would be needed for shared class materials. Lab fees could also be charged to non-eligible students that are in the same class as students that are eligible participants in the grant. </w:t>
      </w:r>
    </w:p>
    <w:p w14:paraId="0AFF4E30" w14:textId="41158253" w:rsidR="00D55247" w:rsidRPr="002878A4" w:rsidRDefault="00D55247" w:rsidP="00D55247">
      <w:pPr>
        <w:pStyle w:val="ListParagraph"/>
        <w:numPr>
          <w:ilvl w:val="0"/>
          <w:numId w:val="2"/>
        </w:numPr>
        <w:rPr>
          <w:rFonts w:ascii="Palatino Linotype" w:hAnsi="Palatino Linotype"/>
          <w:sz w:val="22"/>
          <w:szCs w:val="22"/>
          <w:u w:val="single"/>
        </w:rPr>
      </w:pPr>
      <w:r w:rsidRPr="002878A4">
        <w:rPr>
          <w:rFonts w:ascii="Palatino Linotype" w:hAnsi="Palatino Linotype"/>
          <w:sz w:val="22"/>
          <w:szCs w:val="22"/>
          <w:u w:val="single"/>
        </w:rPr>
        <w:t>Can Pell Grants be used as a match for local funds?</w:t>
      </w:r>
    </w:p>
    <w:p w14:paraId="71358736" w14:textId="635E6A35" w:rsidR="00D55247" w:rsidRPr="002878A4" w:rsidRDefault="00D55247" w:rsidP="00D55247">
      <w:pPr>
        <w:ind w:left="720"/>
        <w:rPr>
          <w:rFonts w:ascii="Palatino Linotype" w:hAnsi="Palatino Linotype"/>
          <w:sz w:val="22"/>
          <w:szCs w:val="22"/>
        </w:rPr>
      </w:pPr>
    </w:p>
    <w:p w14:paraId="381D7195" w14:textId="391317F1" w:rsidR="00D55247" w:rsidRPr="002878A4" w:rsidRDefault="00D55247" w:rsidP="00D55247">
      <w:pPr>
        <w:ind w:left="720"/>
        <w:rPr>
          <w:rFonts w:ascii="Palatino Linotype" w:hAnsi="Palatino Linotype"/>
          <w:sz w:val="22"/>
          <w:szCs w:val="22"/>
        </w:rPr>
      </w:pPr>
      <w:r w:rsidRPr="002878A4">
        <w:rPr>
          <w:rFonts w:ascii="Palatino Linotype" w:hAnsi="Palatino Linotype"/>
          <w:sz w:val="22"/>
          <w:szCs w:val="22"/>
        </w:rPr>
        <w:t xml:space="preserve">No, since Pell Grants are federal funds they cannot be used for local match.  However, if a student is taking credit courses and is eligible for Pell, then the Pell funds can be used first.  The remaining tuition balance can be submitted for reimbursement.  </w:t>
      </w:r>
    </w:p>
    <w:p w14:paraId="2C8A5B9C" w14:textId="52E9338E" w:rsidR="00D55247" w:rsidRPr="002878A4" w:rsidRDefault="00D55247" w:rsidP="00D55247">
      <w:pPr>
        <w:ind w:left="720"/>
        <w:rPr>
          <w:rFonts w:ascii="Palatino Linotype" w:hAnsi="Palatino Linotype"/>
          <w:sz w:val="22"/>
          <w:szCs w:val="22"/>
        </w:rPr>
      </w:pPr>
    </w:p>
    <w:p w14:paraId="576BBE27" w14:textId="5478A477" w:rsidR="00D55247" w:rsidRPr="002878A4" w:rsidRDefault="00D55247" w:rsidP="00D55247">
      <w:pPr>
        <w:pStyle w:val="ListParagraph"/>
        <w:numPr>
          <w:ilvl w:val="0"/>
          <w:numId w:val="2"/>
        </w:numPr>
        <w:rPr>
          <w:rFonts w:ascii="Palatino Linotype" w:hAnsi="Palatino Linotype"/>
          <w:sz w:val="22"/>
          <w:szCs w:val="22"/>
          <w:u w:val="single"/>
        </w:rPr>
      </w:pPr>
      <w:r w:rsidRPr="002878A4">
        <w:rPr>
          <w:rFonts w:ascii="Palatino Linotype" w:hAnsi="Palatino Linotype"/>
          <w:sz w:val="22"/>
          <w:szCs w:val="22"/>
          <w:u w:val="single"/>
        </w:rPr>
        <w:t xml:space="preserve">Can </w:t>
      </w:r>
      <w:proofErr w:type="spellStart"/>
      <w:r w:rsidRPr="002878A4">
        <w:rPr>
          <w:rFonts w:ascii="Palatino Linotype" w:hAnsi="Palatino Linotype"/>
          <w:sz w:val="22"/>
          <w:szCs w:val="22"/>
          <w:u w:val="single"/>
        </w:rPr>
        <w:t>SkillUP</w:t>
      </w:r>
      <w:proofErr w:type="spellEnd"/>
      <w:r w:rsidRPr="002878A4">
        <w:rPr>
          <w:rFonts w:ascii="Palatino Linotype" w:hAnsi="Palatino Linotype"/>
          <w:sz w:val="22"/>
          <w:szCs w:val="22"/>
          <w:u w:val="single"/>
        </w:rPr>
        <w:t xml:space="preserve"> 50/50 funds be used to pay for books and supplies for students?</w:t>
      </w:r>
    </w:p>
    <w:p w14:paraId="334A47F1" w14:textId="7530FF0A" w:rsidR="00D55247" w:rsidRPr="002878A4" w:rsidRDefault="00D55247" w:rsidP="00D55247">
      <w:pPr>
        <w:ind w:left="360"/>
        <w:rPr>
          <w:rFonts w:ascii="Palatino Linotype" w:hAnsi="Palatino Linotype"/>
          <w:sz w:val="22"/>
          <w:szCs w:val="22"/>
        </w:rPr>
      </w:pPr>
    </w:p>
    <w:p w14:paraId="1D0750CF" w14:textId="1F9FDDCD" w:rsidR="00B31C2F" w:rsidRDefault="001F0D80" w:rsidP="00D55247">
      <w:pPr>
        <w:ind w:left="720"/>
        <w:rPr>
          <w:rFonts w:ascii="Palatino Linotype" w:hAnsi="Palatino Linotype"/>
          <w:sz w:val="22"/>
          <w:szCs w:val="22"/>
        </w:rPr>
      </w:pPr>
      <w:r>
        <w:rPr>
          <w:rFonts w:ascii="Palatino Linotype" w:hAnsi="Palatino Linotype"/>
          <w:sz w:val="22"/>
          <w:szCs w:val="22"/>
        </w:rPr>
        <w:t xml:space="preserve">For any </w:t>
      </w:r>
      <w:r w:rsidR="00201684">
        <w:rPr>
          <w:rFonts w:ascii="Palatino Linotype" w:hAnsi="Palatino Linotype"/>
          <w:sz w:val="22"/>
          <w:szCs w:val="22"/>
        </w:rPr>
        <w:t>education</w:t>
      </w:r>
      <w:r w:rsidR="000707B6">
        <w:rPr>
          <w:rFonts w:ascii="Palatino Linotype" w:hAnsi="Palatino Linotype"/>
          <w:sz w:val="22"/>
          <w:szCs w:val="22"/>
        </w:rPr>
        <w:t>-r</w:t>
      </w:r>
      <w:r w:rsidR="00201684">
        <w:rPr>
          <w:rFonts w:ascii="Palatino Linotype" w:hAnsi="Palatino Linotype"/>
          <w:sz w:val="22"/>
          <w:szCs w:val="22"/>
        </w:rPr>
        <w:t xml:space="preserve">elated expenses </w:t>
      </w:r>
      <w:r>
        <w:rPr>
          <w:rFonts w:ascii="Palatino Linotype" w:hAnsi="Palatino Linotype"/>
          <w:sz w:val="22"/>
          <w:szCs w:val="22"/>
        </w:rPr>
        <w:t>that are not included in tuition</w:t>
      </w:r>
      <w:r w:rsidR="00E17D7C">
        <w:rPr>
          <w:rFonts w:ascii="Palatino Linotype" w:hAnsi="Palatino Linotype"/>
          <w:sz w:val="22"/>
          <w:szCs w:val="22"/>
        </w:rPr>
        <w:t xml:space="preserve"> and that the college knows will be a part of the process of completion</w:t>
      </w:r>
      <w:r>
        <w:rPr>
          <w:rFonts w:ascii="Palatino Linotype" w:hAnsi="Palatino Linotype"/>
          <w:sz w:val="22"/>
          <w:szCs w:val="22"/>
        </w:rPr>
        <w:t xml:space="preserve">, these items must be added as “other” or “books” as appropriate in the 361 activity in </w:t>
      </w:r>
      <w:proofErr w:type="spellStart"/>
      <w:r>
        <w:rPr>
          <w:rFonts w:ascii="Palatino Linotype" w:hAnsi="Palatino Linotype"/>
          <w:sz w:val="22"/>
          <w:szCs w:val="22"/>
        </w:rPr>
        <w:t>MoJOBs</w:t>
      </w:r>
      <w:proofErr w:type="spellEnd"/>
      <w:r>
        <w:rPr>
          <w:rFonts w:ascii="Palatino Linotype" w:hAnsi="Palatino Linotype"/>
          <w:sz w:val="22"/>
          <w:szCs w:val="22"/>
        </w:rPr>
        <w:t>.</w:t>
      </w:r>
    </w:p>
    <w:p w14:paraId="530CBBB1" w14:textId="2A895450" w:rsidR="005B61C6" w:rsidRDefault="005B61C6" w:rsidP="00D55247">
      <w:pPr>
        <w:ind w:left="720"/>
        <w:rPr>
          <w:rFonts w:ascii="Palatino Linotype" w:hAnsi="Palatino Linotype"/>
          <w:sz w:val="22"/>
          <w:szCs w:val="22"/>
        </w:rPr>
      </w:pPr>
    </w:p>
    <w:p w14:paraId="66729F5F" w14:textId="5616EB09" w:rsidR="00D55247" w:rsidRPr="002878A4" w:rsidRDefault="007A00F0" w:rsidP="00D55247">
      <w:pPr>
        <w:pStyle w:val="ListParagraph"/>
        <w:numPr>
          <w:ilvl w:val="0"/>
          <w:numId w:val="2"/>
        </w:numPr>
        <w:rPr>
          <w:rFonts w:ascii="Palatino Linotype" w:hAnsi="Palatino Linotype"/>
          <w:sz w:val="22"/>
          <w:szCs w:val="22"/>
        </w:rPr>
      </w:pPr>
      <w:r w:rsidRPr="002878A4">
        <w:rPr>
          <w:rFonts w:ascii="Palatino Linotype" w:hAnsi="Palatino Linotype"/>
          <w:sz w:val="22"/>
          <w:szCs w:val="22"/>
          <w:u w:val="single"/>
        </w:rPr>
        <w:t xml:space="preserve">Does the </w:t>
      </w:r>
      <w:proofErr w:type="spellStart"/>
      <w:r w:rsidRPr="002878A4">
        <w:rPr>
          <w:rFonts w:ascii="Palatino Linotype" w:hAnsi="Palatino Linotype"/>
          <w:sz w:val="22"/>
          <w:szCs w:val="22"/>
          <w:u w:val="single"/>
        </w:rPr>
        <w:t>SkillUP</w:t>
      </w:r>
      <w:proofErr w:type="spellEnd"/>
      <w:r w:rsidRPr="002878A4">
        <w:rPr>
          <w:rFonts w:ascii="Palatino Linotype" w:hAnsi="Palatino Linotype"/>
          <w:sz w:val="22"/>
          <w:szCs w:val="22"/>
          <w:u w:val="single"/>
        </w:rPr>
        <w:t xml:space="preserve"> grant pay for </w:t>
      </w:r>
      <w:r w:rsidR="007C7906" w:rsidRPr="002878A4">
        <w:rPr>
          <w:rFonts w:ascii="Palatino Linotype" w:hAnsi="Palatino Linotype"/>
          <w:sz w:val="22"/>
          <w:szCs w:val="22"/>
          <w:u w:val="single"/>
        </w:rPr>
        <w:t>ch</w:t>
      </w:r>
      <w:r w:rsidRPr="002878A4">
        <w:rPr>
          <w:rFonts w:ascii="Palatino Linotype" w:hAnsi="Palatino Linotype"/>
          <w:sz w:val="22"/>
          <w:szCs w:val="22"/>
          <w:u w:val="single"/>
        </w:rPr>
        <w:t>ildcare?</w:t>
      </w:r>
    </w:p>
    <w:p w14:paraId="561152DE" w14:textId="77777777" w:rsidR="007A00F0" w:rsidRPr="002878A4" w:rsidRDefault="007A00F0" w:rsidP="007A00F0">
      <w:pPr>
        <w:pStyle w:val="ListParagraph"/>
        <w:rPr>
          <w:rFonts w:ascii="Palatino Linotype" w:hAnsi="Palatino Linotype"/>
          <w:sz w:val="22"/>
          <w:szCs w:val="22"/>
        </w:rPr>
      </w:pPr>
    </w:p>
    <w:p w14:paraId="54FA0D35" w14:textId="4843910F" w:rsidR="007C7906" w:rsidRPr="002878A4" w:rsidRDefault="007C7906" w:rsidP="007C7906">
      <w:pPr>
        <w:pStyle w:val="ListParagraph"/>
        <w:rPr>
          <w:rFonts w:ascii="Palatino Linotype" w:hAnsi="Palatino Linotype"/>
          <w:sz w:val="22"/>
          <w:szCs w:val="22"/>
        </w:rPr>
      </w:pPr>
      <w:r w:rsidRPr="002878A4">
        <w:rPr>
          <w:rFonts w:ascii="Palatino Linotype" w:hAnsi="Palatino Linotype"/>
          <w:sz w:val="22"/>
          <w:szCs w:val="22"/>
        </w:rPr>
        <w:t>The grant cannot pay for childcare.  However, individuals can submit applications for c</w:t>
      </w:r>
      <w:r w:rsidR="007A00F0" w:rsidRPr="002878A4">
        <w:rPr>
          <w:rFonts w:ascii="Palatino Linotype" w:hAnsi="Palatino Linotype"/>
          <w:sz w:val="22"/>
          <w:szCs w:val="22"/>
        </w:rPr>
        <w:t xml:space="preserve">hildcare </w:t>
      </w:r>
      <w:r w:rsidRPr="002878A4">
        <w:rPr>
          <w:rFonts w:ascii="Palatino Linotype" w:hAnsi="Palatino Linotype"/>
          <w:sz w:val="22"/>
          <w:szCs w:val="22"/>
        </w:rPr>
        <w:t xml:space="preserve">assistance </w:t>
      </w:r>
      <w:r w:rsidR="007A00F0" w:rsidRPr="002878A4">
        <w:rPr>
          <w:rFonts w:ascii="Palatino Linotype" w:hAnsi="Palatino Linotype"/>
          <w:sz w:val="22"/>
          <w:szCs w:val="22"/>
        </w:rPr>
        <w:t xml:space="preserve">applications </w:t>
      </w:r>
      <w:r w:rsidRPr="002878A4">
        <w:rPr>
          <w:rFonts w:ascii="Palatino Linotype" w:hAnsi="Palatino Linotype"/>
          <w:sz w:val="22"/>
          <w:szCs w:val="22"/>
        </w:rPr>
        <w:t>on the</w:t>
      </w:r>
      <w:r w:rsidR="007A00F0" w:rsidRPr="002878A4">
        <w:rPr>
          <w:rFonts w:ascii="Palatino Linotype" w:hAnsi="Palatino Linotype"/>
          <w:sz w:val="22"/>
          <w:szCs w:val="22"/>
        </w:rPr>
        <w:t xml:space="preserve"> </w:t>
      </w:r>
      <w:r w:rsidRPr="002878A4">
        <w:rPr>
          <w:rFonts w:ascii="Palatino Linotype" w:hAnsi="Palatino Linotype"/>
          <w:sz w:val="22"/>
          <w:szCs w:val="22"/>
        </w:rPr>
        <w:t xml:space="preserve">Missouri Dept of Social Services website - </w:t>
      </w:r>
      <w:hyperlink r:id="rId11" w:history="1">
        <w:r w:rsidRPr="002878A4">
          <w:rPr>
            <w:rStyle w:val="Hyperlink"/>
            <w:rFonts w:ascii="Palatino Linotype" w:hAnsi="Palatino Linotype"/>
            <w:sz w:val="22"/>
            <w:szCs w:val="22"/>
          </w:rPr>
          <w:t>https://dss.mo.gov/fsd/child-care.htm</w:t>
        </w:r>
      </w:hyperlink>
      <w:r w:rsidRPr="002878A4">
        <w:rPr>
          <w:rFonts w:ascii="Palatino Linotype" w:hAnsi="Palatino Linotype"/>
          <w:sz w:val="22"/>
          <w:szCs w:val="22"/>
        </w:rPr>
        <w:t xml:space="preserve">.  </w:t>
      </w:r>
    </w:p>
    <w:p w14:paraId="12173714" w14:textId="77777777" w:rsidR="007C7906" w:rsidRPr="002878A4" w:rsidRDefault="007C7906" w:rsidP="007C7906">
      <w:pPr>
        <w:pStyle w:val="ListParagraph"/>
        <w:rPr>
          <w:rFonts w:ascii="Palatino Linotype" w:hAnsi="Palatino Linotype"/>
          <w:sz w:val="22"/>
          <w:szCs w:val="22"/>
        </w:rPr>
      </w:pPr>
    </w:p>
    <w:p w14:paraId="7845D01D" w14:textId="551B11CA" w:rsidR="007C7906" w:rsidRPr="002878A4" w:rsidRDefault="007C7906" w:rsidP="007C7906">
      <w:pPr>
        <w:pStyle w:val="ListParagraph"/>
        <w:numPr>
          <w:ilvl w:val="0"/>
          <w:numId w:val="2"/>
        </w:numPr>
        <w:rPr>
          <w:rFonts w:ascii="Palatino Linotype" w:hAnsi="Palatino Linotype"/>
          <w:sz w:val="22"/>
          <w:szCs w:val="22"/>
        </w:rPr>
      </w:pPr>
      <w:r w:rsidRPr="002878A4">
        <w:rPr>
          <w:rFonts w:ascii="Palatino Linotype" w:hAnsi="Palatino Linotype"/>
          <w:sz w:val="22"/>
          <w:szCs w:val="22"/>
          <w:u w:val="single"/>
        </w:rPr>
        <w:t xml:space="preserve">Does the </w:t>
      </w:r>
      <w:proofErr w:type="spellStart"/>
      <w:r w:rsidRPr="002878A4">
        <w:rPr>
          <w:rFonts w:ascii="Palatino Linotype" w:hAnsi="Palatino Linotype"/>
          <w:sz w:val="22"/>
          <w:szCs w:val="22"/>
          <w:u w:val="single"/>
        </w:rPr>
        <w:t>SkillUP</w:t>
      </w:r>
      <w:proofErr w:type="spellEnd"/>
      <w:r w:rsidRPr="002878A4">
        <w:rPr>
          <w:rFonts w:ascii="Palatino Linotype" w:hAnsi="Palatino Linotype"/>
          <w:sz w:val="22"/>
          <w:szCs w:val="22"/>
          <w:u w:val="single"/>
        </w:rPr>
        <w:t xml:space="preserve"> grant pay for Supportive Services, such as transportation or work-related expenses?</w:t>
      </w:r>
      <w:r w:rsidR="001A1ACD">
        <w:rPr>
          <w:rFonts w:ascii="Palatino Linotype" w:hAnsi="Palatino Linotype"/>
          <w:sz w:val="22"/>
          <w:szCs w:val="22"/>
          <w:u w:val="single"/>
        </w:rPr>
        <w:t xml:space="preserve"> Also see question 1</w:t>
      </w:r>
      <w:r w:rsidR="005B61C6">
        <w:rPr>
          <w:rFonts w:ascii="Palatino Linotype" w:hAnsi="Palatino Linotype"/>
          <w:sz w:val="22"/>
          <w:szCs w:val="22"/>
          <w:u w:val="single"/>
        </w:rPr>
        <w:t>2</w:t>
      </w:r>
      <w:r w:rsidR="001A1ACD">
        <w:rPr>
          <w:rFonts w:ascii="Palatino Linotype" w:hAnsi="Palatino Linotype"/>
          <w:sz w:val="22"/>
          <w:szCs w:val="22"/>
          <w:u w:val="single"/>
        </w:rPr>
        <w:t xml:space="preserve"> above.</w:t>
      </w:r>
    </w:p>
    <w:p w14:paraId="2CCC8DA6" w14:textId="77777777" w:rsidR="007C7906" w:rsidRPr="002878A4" w:rsidRDefault="007C7906" w:rsidP="007C7906">
      <w:pPr>
        <w:pStyle w:val="ListParagraph"/>
        <w:rPr>
          <w:rFonts w:ascii="Palatino Linotype" w:hAnsi="Palatino Linotype"/>
          <w:sz w:val="22"/>
          <w:szCs w:val="22"/>
        </w:rPr>
      </w:pPr>
    </w:p>
    <w:p w14:paraId="17D16A2B" w14:textId="4B8DCA4D" w:rsidR="00D55247" w:rsidRDefault="005B61C6" w:rsidP="00D55247">
      <w:pPr>
        <w:pStyle w:val="ListParagraph"/>
        <w:rPr>
          <w:rFonts w:ascii="Palatino Linotype" w:hAnsi="Palatino Linotype"/>
          <w:sz w:val="22"/>
          <w:szCs w:val="22"/>
        </w:rPr>
      </w:pPr>
      <w:r>
        <w:rPr>
          <w:rFonts w:ascii="Palatino Linotype" w:hAnsi="Palatino Linotype"/>
          <w:sz w:val="22"/>
          <w:szCs w:val="22"/>
        </w:rPr>
        <w:t xml:space="preserve">Travel related expenses are not allowable during FFY21. If a participant presents with this type of need, the individual should be referral to another </w:t>
      </w:r>
      <w:proofErr w:type="spellStart"/>
      <w:r>
        <w:rPr>
          <w:rFonts w:ascii="Palatino Linotype" w:hAnsi="Palatino Linotype"/>
          <w:sz w:val="22"/>
          <w:szCs w:val="22"/>
        </w:rPr>
        <w:t>SkillUP</w:t>
      </w:r>
      <w:proofErr w:type="spellEnd"/>
      <w:r>
        <w:rPr>
          <w:rFonts w:ascii="Palatino Linotype" w:hAnsi="Palatino Linotype"/>
          <w:sz w:val="22"/>
          <w:szCs w:val="22"/>
        </w:rPr>
        <w:t xml:space="preserve"> provider. </w:t>
      </w:r>
    </w:p>
    <w:p w14:paraId="1996CC42" w14:textId="4926C31D" w:rsidR="005B61C6" w:rsidRDefault="005B61C6" w:rsidP="00D55247">
      <w:pPr>
        <w:pStyle w:val="ListParagraph"/>
        <w:rPr>
          <w:rFonts w:ascii="Palatino Linotype" w:hAnsi="Palatino Linotype"/>
          <w:sz w:val="22"/>
          <w:szCs w:val="22"/>
        </w:rPr>
      </w:pPr>
    </w:p>
    <w:p w14:paraId="6F17FFC8" w14:textId="05835335" w:rsidR="005B61C6" w:rsidRDefault="005B61C6" w:rsidP="00D55247">
      <w:pPr>
        <w:pStyle w:val="ListParagraph"/>
        <w:rPr>
          <w:rFonts w:ascii="Palatino Linotype" w:hAnsi="Palatino Linotype"/>
          <w:sz w:val="22"/>
          <w:szCs w:val="22"/>
        </w:rPr>
      </w:pPr>
      <w:r>
        <w:rPr>
          <w:rFonts w:ascii="Palatino Linotype" w:hAnsi="Palatino Linotype"/>
          <w:sz w:val="22"/>
          <w:szCs w:val="22"/>
        </w:rPr>
        <w:t>See question 12 for training related expenses.</w:t>
      </w:r>
    </w:p>
    <w:p w14:paraId="1A1BCF2E" w14:textId="77777777" w:rsidR="005B61C6" w:rsidRPr="002878A4" w:rsidRDefault="005B61C6" w:rsidP="00D55247">
      <w:pPr>
        <w:pStyle w:val="ListParagraph"/>
        <w:rPr>
          <w:rFonts w:ascii="Palatino Linotype" w:hAnsi="Palatino Linotype"/>
          <w:sz w:val="22"/>
          <w:szCs w:val="22"/>
        </w:rPr>
      </w:pPr>
    </w:p>
    <w:p w14:paraId="2AEC9FD2" w14:textId="6FE9013C" w:rsidR="00D55247" w:rsidRPr="002878A4" w:rsidRDefault="00D55247" w:rsidP="002878A4">
      <w:pPr>
        <w:pStyle w:val="ListParagraph"/>
        <w:numPr>
          <w:ilvl w:val="0"/>
          <w:numId w:val="2"/>
        </w:numPr>
        <w:rPr>
          <w:rFonts w:ascii="Palatino Linotype" w:hAnsi="Palatino Linotype"/>
          <w:sz w:val="22"/>
          <w:szCs w:val="22"/>
          <w:u w:val="single"/>
        </w:rPr>
      </w:pPr>
      <w:r w:rsidRPr="002878A4">
        <w:rPr>
          <w:rFonts w:ascii="Palatino Linotype" w:hAnsi="Palatino Linotype"/>
          <w:sz w:val="22"/>
          <w:szCs w:val="22"/>
          <w:u w:val="single"/>
        </w:rPr>
        <w:t>What items can be included under Outreach expenses?</w:t>
      </w:r>
    </w:p>
    <w:p w14:paraId="52BC0398" w14:textId="77777777" w:rsidR="00D55247" w:rsidRPr="002878A4" w:rsidRDefault="00D55247" w:rsidP="00D55247">
      <w:pPr>
        <w:rPr>
          <w:rFonts w:ascii="Palatino Linotype" w:hAnsi="Palatino Linotype"/>
          <w:sz w:val="22"/>
          <w:szCs w:val="22"/>
          <w:u w:val="single"/>
        </w:rPr>
      </w:pPr>
    </w:p>
    <w:p w14:paraId="11E2C2ED" w14:textId="6B2EC1B5" w:rsidR="00D55247" w:rsidRPr="002878A4" w:rsidRDefault="00D55247" w:rsidP="004459C5">
      <w:pPr>
        <w:ind w:left="720"/>
        <w:rPr>
          <w:rFonts w:ascii="Palatino Linotype" w:hAnsi="Palatino Linotype"/>
          <w:sz w:val="22"/>
          <w:szCs w:val="22"/>
        </w:rPr>
      </w:pPr>
      <w:r w:rsidRPr="002878A4">
        <w:rPr>
          <w:rFonts w:ascii="Palatino Linotype" w:hAnsi="Palatino Linotype"/>
          <w:sz w:val="22"/>
          <w:szCs w:val="22"/>
        </w:rPr>
        <w:t xml:space="preserve">This type of expense can be allowable under the right circumstances, but you need to make sure that you are carefully following the guidelines. Outreach and any related advertising needs to be very specific in scope and intent; for example, outreach/advertising to applicants to fill personnel vacancies required as part of the grant or outreach to make contact with participants for the programs specifically funded under the grant. You cannot be promoting the college or programs in </w:t>
      </w:r>
      <w:r w:rsidRPr="002878A4">
        <w:rPr>
          <w:rFonts w:ascii="Palatino Linotype" w:hAnsi="Palatino Linotype"/>
          <w:sz w:val="22"/>
          <w:szCs w:val="22"/>
        </w:rPr>
        <w:lastRenderedPageBreak/>
        <w:t>general; you need to have a convincing argument that the outreach is needed to help satisfy the requirements of the grant</w:t>
      </w:r>
      <w:r w:rsidR="002878A4" w:rsidRPr="002878A4">
        <w:rPr>
          <w:rFonts w:ascii="Palatino Linotype" w:hAnsi="Palatino Linotype"/>
          <w:sz w:val="22"/>
          <w:szCs w:val="22"/>
        </w:rPr>
        <w:t>.</w:t>
      </w:r>
    </w:p>
    <w:p w14:paraId="76EC1211" w14:textId="77777777" w:rsidR="00D55247" w:rsidRPr="002878A4" w:rsidRDefault="00D55247" w:rsidP="00D55247">
      <w:pPr>
        <w:pStyle w:val="ListParagraph"/>
        <w:rPr>
          <w:rFonts w:ascii="Palatino Linotype" w:hAnsi="Palatino Linotype"/>
          <w:sz w:val="22"/>
          <w:szCs w:val="22"/>
        </w:rPr>
      </w:pPr>
    </w:p>
    <w:sectPr w:rsidR="00D55247" w:rsidRPr="002878A4" w:rsidSect="00590688">
      <w:footerReference w:type="default" r:id="rId12"/>
      <w:pgSz w:w="12240" w:h="15840"/>
      <w:pgMar w:top="1039" w:right="850" w:bottom="716"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3B034" w14:textId="77777777" w:rsidR="00EE29E3" w:rsidRDefault="00EE29E3" w:rsidP="00F1380A">
      <w:r>
        <w:separator/>
      </w:r>
    </w:p>
  </w:endnote>
  <w:endnote w:type="continuationSeparator" w:id="0">
    <w:p w14:paraId="3B36FBF0" w14:textId="77777777" w:rsidR="00EE29E3" w:rsidRDefault="00EE29E3" w:rsidP="00F1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838576"/>
      <w:docPartObj>
        <w:docPartGallery w:val="Page Numbers (Bottom of Page)"/>
        <w:docPartUnique/>
      </w:docPartObj>
    </w:sdtPr>
    <w:sdtEndPr>
      <w:rPr>
        <w:noProof/>
      </w:rPr>
    </w:sdtEndPr>
    <w:sdtContent>
      <w:p w14:paraId="4C12E9CA" w14:textId="7EF974E1" w:rsidR="002C29D5" w:rsidRDefault="000707B6">
        <w:pPr>
          <w:pStyle w:val="Footer"/>
          <w:jc w:val="center"/>
        </w:pPr>
        <w:r>
          <w:t>September 11, 2020</w:t>
        </w:r>
      </w:p>
      <w:p w14:paraId="4305E335" w14:textId="77777777" w:rsidR="000707B6" w:rsidRDefault="000707B6">
        <w:pPr>
          <w:pStyle w:val="Footer"/>
          <w:jc w:val="center"/>
        </w:pPr>
      </w:p>
      <w:p w14:paraId="0D7521D4" w14:textId="0A97416D" w:rsidR="004459C5" w:rsidRDefault="005B61C6">
        <w:pPr>
          <w:pStyle w:val="Footer"/>
          <w:jc w:val="center"/>
        </w:pPr>
      </w:p>
    </w:sdtContent>
  </w:sdt>
  <w:p w14:paraId="0F52202C" w14:textId="35EAD834" w:rsidR="00D55247" w:rsidRPr="00D55247" w:rsidRDefault="00D55247" w:rsidP="00D55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673F6" w14:textId="77777777" w:rsidR="00EE29E3" w:rsidRDefault="00EE29E3" w:rsidP="00F1380A">
      <w:r>
        <w:separator/>
      </w:r>
    </w:p>
  </w:footnote>
  <w:footnote w:type="continuationSeparator" w:id="0">
    <w:p w14:paraId="239FA3D4" w14:textId="77777777" w:rsidR="00EE29E3" w:rsidRDefault="00EE29E3" w:rsidP="00F13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96103"/>
    <w:multiLevelType w:val="hybridMultilevel"/>
    <w:tmpl w:val="F56CEA44"/>
    <w:lvl w:ilvl="0" w:tplc="BCEEA65C">
      <w:start w:val="1"/>
      <w:numFmt w:val="decimal"/>
      <w:lvlText w:val="%1."/>
      <w:lvlJc w:val="left"/>
      <w:pPr>
        <w:ind w:left="720" w:hanging="360"/>
      </w:pPr>
      <w:rPr>
        <w:rFonts w:ascii="Franklin Gothic Book" w:eastAsia="Times New Roman" w:hAnsi="Franklin Gothic Book"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82A2F"/>
    <w:multiLevelType w:val="hybridMultilevel"/>
    <w:tmpl w:val="2F288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1C4A73"/>
    <w:multiLevelType w:val="hybridMultilevel"/>
    <w:tmpl w:val="DB866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FD351FB"/>
    <w:multiLevelType w:val="hybridMultilevel"/>
    <w:tmpl w:val="F56CEA44"/>
    <w:lvl w:ilvl="0" w:tplc="BCEEA65C">
      <w:start w:val="1"/>
      <w:numFmt w:val="decimal"/>
      <w:lvlText w:val="%1."/>
      <w:lvlJc w:val="left"/>
      <w:pPr>
        <w:ind w:left="720" w:hanging="360"/>
      </w:pPr>
      <w:rPr>
        <w:rFonts w:ascii="Franklin Gothic Book" w:eastAsia="Times New Roman" w:hAnsi="Franklin Gothic Book"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704"/>
    <w:rsid w:val="000060CB"/>
    <w:rsid w:val="00006571"/>
    <w:rsid w:val="000408D4"/>
    <w:rsid w:val="000707B6"/>
    <w:rsid w:val="00084A54"/>
    <w:rsid w:val="000B79E3"/>
    <w:rsid w:val="000D5421"/>
    <w:rsid w:val="00111729"/>
    <w:rsid w:val="00154C13"/>
    <w:rsid w:val="00165291"/>
    <w:rsid w:val="00182AED"/>
    <w:rsid w:val="001A0DBF"/>
    <w:rsid w:val="001A1ACD"/>
    <w:rsid w:val="001E3AEA"/>
    <w:rsid w:val="001F04A1"/>
    <w:rsid w:val="001F0D80"/>
    <w:rsid w:val="001F39DF"/>
    <w:rsid w:val="00201684"/>
    <w:rsid w:val="00207143"/>
    <w:rsid w:val="00212CF3"/>
    <w:rsid w:val="00223E82"/>
    <w:rsid w:val="00224383"/>
    <w:rsid w:val="002307DA"/>
    <w:rsid w:val="0026281B"/>
    <w:rsid w:val="002878A4"/>
    <w:rsid w:val="002A1D73"/>
    <w:rsid w:val="002B1BA4"/>
    <w:rsid w:val="002B2AE8"/>
    <w:rsid w:val="002C29D5"/>
    <w:rsid w:val="002D01D0"/>
    <w:rsid w:val="002D37D2"/>
    <w:rsid w:val="002D6661"/>
    <w:rsid w:val="002E1815"/>
    <w:rsid w:val="00310C6F"/>
    <w:rsid w:val="0032089B"/>
    <w:rsid w:val="00336A15"/>
    <w:rsid w:val="00345CAB"/>
    <w:rsid w:val="00346999"/>
    <w:rsid w:val="003A44B9"/>
    <w:rsid w:val="003B28A2"/>
    <w:rsid w:val="003C7E23"/>
    <w:rsid w:val="003D0B6C"/>
    <w:rsid w:val="00410D8E"/>
    <w:rsid w:val="0041283C"/>
    <w:rsid w:val="00415876"/>
    <w:rsid w:val="00421C77"/>
    <w:rsid w:val="00424815"/>
    <w:rsid w:val="004459C5"/>
    <w:rsid w:val="004916B0"/>
    <w:rsid w:val="004962ED"/>
    <w:rsid w:val="004A59EB"/>
    <w:rsid w:val="00540D90"/>
    <w:rsid w:val="00546458"/>
    <w:rsid w:val="00590688"/>
    <w:rsid w:val="005939CE"/>
    <w:rsid w:val="005A2F78"/>
    <w:rsid w:val="005A5891"/>
    <w:rsid w:val="005B61C6"/>
    <w:rsid w:val="005C05CE"/>
    <w:rsid w:val="005C3DA3"/>
    <w:rsid w:val="005D3D8F"/>
    <w:rsid w:val="0060398A"/>
    <w:rsid w:val="00616CD6"/>
    <w:rsid w:val="006205FC"/>
    <w:rsid w:val="006566E8"/>
    <w:rsid w:val="00681F8B"/>
    <w:rsid w:val="006A4DCB"/>
    <w:rsid w:val="006C13AF"/>
    <w:rsid w:val="006C6BCD"/>
    <w:rsid w:val="006F4183"/>
    <w:rsid w:val="006F4220"/>
    <w:rsid w:val="007066D0"/>
    <w:rsid w:val="007149DA"/>
    <w:rsid w:val="0071576B"/>
    <w:rsid w:val="007211FE"/>
    <w:rsid w:val="007542B4"/>
    <w:rsid w:val="0077554E"/>
    <w:rsid w:val="007925BB"/>
    <w:rsid w:val="00792C99"/>
    <w:rsid w:val="00795BE5"/>
    <w:rsid w:val="007A00F0"/>
    <w:rsid w:val="007C5507"/>
    <w:rsid w:val="007C7906"/>
    <w:rsid w:val="007E5B7B"/>
    <w:rsid w:val="008153EC"/>
    <w:rsid w:val="00852265"/>
    <w:rsid w:val="00874DD9"/>
    <w:rsid w:val="008A0A13"/>
    <w:rsid w:val="008A17E2"/>
    <w:rsid w:val="008E1197"/>
    <w:rsid w:val="008F5D1E"/>
    <w:rsid w:val="00924445"/>
    <w:rsid w:val="0096614B"/>
    <w:rsid w:val="009857A0"/>
    <w:rsid w:val="009A36A3"/>
    <w:rsid w:val="009A7694"/>
    <w:rsid w:val="009D32F4"/>
    <w:rsid w:val="009E03F7"/>
    <w:rsid w:val="009F4629"/>
    <w:rsid w:val="00A166D8"/>
    <w:rsid w:val="00A16DB6"/>
    <w:rsid w:val="00A36CC3"/>
    <w:rsid w:val="00A5557B"/>
    <w:rsid w:val="00A72B4E"/>
    <w:rsid w:val="00AD60F9"/>
    <w:rsid w:val="00AE0398"/>
    <w:rsid w:val="00AE2786"/>
    <w:rsid w:val="00AF2480"/>
    <w:rsid w:val="00B05CF9"/>
    <w:rsid w:val="00B0601B"/>
    <w:rsid w:val="00B0613E"/>
    <w:rsid w:val="00B14C45"/>
    <w:rsid w:val="00B16BAB"/>
    <w:rsid w:val="00B31C2F"/>
    <w:rsid w:val="00B67FEA"/>
    <w:rsid w:val="00B86B7A"/>
    <w:rsid w:val="00BA39CB"/>
    <w:rsid w:val="00C152B6"/>
    <w:rsid w:val="00C31B8D"/>
    <w:rsid w:val="00C5434B"/>
    <w:rsid w:val="00C5738B"/>
    <w:rsid w:val="00CC7B82"/>
    <w:rsid w:val="00CD3B3F"/>
    <w:rsid w:val="00CE6458"/>
    <w:rsid w:val="00CF0970"/>
    <w:rsid w:val="00D02253"/>
    <w:rsid w:val="00D33648"/>
    <w:rsid w:val="00D44704"/>
    <w:rsid w:val="00D55247"/>
    <w:rsid w:val="00D55AB1"/>
    <w:rsid w:val="00D86808"/>
    <w:rsid w:val="00D9273B"/>
    <w:rsid w:val="00D9454D"/>
    <w:rsid w:val="00DC5C17"/>
    <w:rsid w:val="00DC68D0"/>
    <w:rsid w:val="00DD551E"/>
    <w:rsid w:val="00E06405"/>
    <w:rsid w:val="00E14604"/>
    <w:rsid w:val="00E17D7C"/>
    <w:rsid w:val="00E329AE"/>
    <w:rsid w:val="00E7794C"/>
    <w:rsid w:val="00E800A5"/>
    <w:rsid w:val="00E84F2C"/>
    <w:rsid w:val="00E854EE"/>
    <w:rsid w:val="00E96EB7"/>
    <w:rsid w:val="00EC6781"/>
    <w:rsid w:val="00EE29E3"/>
    <w:rsid w:val="00EE40E7"/>
    <w:rsid w:val="00EE4681"/>
    <w:rsid w:val="00F1380A"/>
    <w:rsid w:val="00F41A6C"/>
    <w:rsid w:val="00F467CF"/>
    <w:rsid w:val="00FC3F17"/>
    <w:rsid w:val="00FD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F7BF7B"/>
  <w14:defaultImageDpi w14:val="32767"/>
  <w15:docId w15:val="{38C36D1A-BB71-4317-AA15-C0448370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F78"/>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2F78"/>
    <w:pPr>
      <w:jc w:val="center"/>
    </w:pPr>
    <w:rPr>
      <w:b/>
      <w:bCs/>
      <w:sz w:val="28"/>
    </w:rPr>
  </w:style>
  <w:style w:type="paragraph" w:styleId="Header">
    <w:name w:val="header"/>
    <w:basedOn w:val="Normal"/>
    <w:link w:val="HeaderChar"/>
    <w:rsid w:val="00F1380A"/>
    <w:pPr>
      <w:tabs>
        <w:tab w:val="center" w:pos="4680"/>
        <w:tab w:val="right" w:pos="9360"/>
      </w:tabs>
    </w:pPr>
  </w:style>
  <w:style w:type="character" w:customStyle="1" w:styleId="HeaderChar">
    <w:name w:val="Header Char"/>
    <w:basedOn w:val="DefaultParagraphFont"/>
    <w:link w:val="Header"/>
    <w:rsid w:val="00F1380A"/>
    <w:rPr>
      <w:sz w:val="24"/>
      <w:szCs w:val="24"/>
      <w:lang w:val="en-CA"/>
    </w:rPr>
  </w:style>
  <w:style w:type="paragraph" w:styleId="Footer">
    <w:name w:val="footer"/>
    <w:basedOn w:val="Normal"/>
    <w:link w:val="FooterChar"/>
    <w:uiPriority w:val="99"/>
    <w:rsid w:val="00F1380A"/>
    <w:pPr>
      <w:tabs>
        <w:tab w:val="center" w:pos="4680"/>
        <w:tab w:val="right" w:pos="9360"/>
      </w:tabs>
    </w:pPr>
  </w:style>
  <w:style w:type="character" w:customStyle="1" w:styleId="FooterChar">
    <w:name w:val="Footer Char"/>
    <w:basedOn w:val="DefaultParagraphFont"/>
    <w:link w:val="Footer"/>
    <w:uiPriority w:val="99"/>
    <w:rsid w:val="00F1380A"/>
    <w:rPr>
      <w:sz w:val="24"/>
      <w:szCs w:val="24"/>
      <w:lang w:val="en-CA"/>
    </w:rPr>
  </w:style>
  <w:style w:type="character" w:styleId="Hyperlink">
    <w:name w:val="Hyperlink"/>
    <w:basedOn w:val="DefaultParagraphFont"/>
    <w:rsid w:val="00F1380A"/>
    <w:rPr>
      <w:color w:val="0563C1" w:themeColor="hyperlink"/>
      <w:u w:val="single"/>
    </w:rPr>
  </w:style>
  <w:style w:type="character" w:customStyle="1" w:styleId="UnresolvedMention1">
    <w:name w:val="Unresolved Mention1"/>
    <w:basedOn w:val="DefaultParagraphFont"/>
    <w:rsid w:val="0026281B"/>
    <w:rPr>
      <w:color w:val="605E5C"/>
      <w:shd w:val="clear" w:color="auto" w:fill="E1DFDD"/>
    </w:rPr>
  </w:style>
  <w:style w:type="paragraph" w:styleId="ListParagraph">
    <w:name w:val="List Paragraph"/>
    <w:basedOn w:val="Normal"/>
    <w:uiPriority w:val="34"/>
    <w:qFormat/>
    <w:rsid w:val="0026281B"/>
    <w:pPr>
      <w:ind w:left="720"/>
      <w:contextualSpacing/>
    </w:pPr>
  </w:style>
  <w:style w:type="character" w:styleId="FollowedHyperlink">
    <w:name w:val="FollowedHyperlink"/>
    <w:basedOn w:val="DefaultParagraphFont"/>
    <w:rsid w:val="00AE2786"/>
    <w:rPr>
      <w:color w:val="954F72" w:themeColor="followedHyperlink"/>
      <w:u w:val="single"/>
    </w:rPr>
  </w:style>
  <w:style w:type="character" w:styleId="UnresolvedMention">
    <w:name w:val="Unresolved Mention"/>
    <w:basedOn w:val="DefaultParagraphFont"/>
    <w:uiPriority w:val="99"/>
    <w:semiHidden/>
    <w:unhideWhenUsed/>
    <w:rsid w:val="00070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64401">
      <w:bodyDiv w:val="1"/>
      <w:marLeft w:val="0"/>
      <w:marRight w:val="0"/>
      <w:marTop w:val="0"/>
      <w:marBottom w:val="0"/>
      <w:divBdr>
        <w:top w:val="none" w:sz="0" w:space="0" w:color="auto"/>
        <w:left w:val="none" w:sz="0" w:space="0" w:color="auto"/>
        <w:bottom w:val="none" w:sz="0" w:space="0" w:color="auto"/>
        <w:right w:val="none" w:sz="0" w:space="0" w:color="auto"/>
      </w:divBdr>
    </w:div>
    <w:div w:id="1134447299">
      <w:bodyDiv w:val="1"/>
      <w:marLeft w:val="0"/>
      <w:marRight w:val="0"/>
      <w:marTop w:val="0"/>
      <w:marBottom w:val="0"/>
      <w:divBdr>
        <w:top w:val="none" w:sz="0" w:space="0" w:color="auto"/>
        <w:left w:val="none" w:sz="0" w:space="0" w:color="auto"/>
        <w:bottom w:val="none" w:sz="0" w:space="0" w:color="auto"/>
        <w:right w:val="none" w:sz="0" w:space="0" w:color="auto"/>
      </w:divBdr>
    </w:div>
    <w:div w:id="1269118712">
      <w:bodyDiv w:val="1"/>
      <w:marLeft w:val="0"/>
      <w:marRight w:val="0"/>
      <w:marTop w:val="0"/>
      <w:marBottom w:val="0"/>
      <w:divBdr>
        <w:top w:val="none" w:sz="0" w:space="0" w:color="auto"/>
        <w:left w:val="none" w:sz="0" w:space="0" w:color="auto"/>
        <w:bottom w:val="none" w:sz="0" w:space="0" w:color="auto"/>
        <w:right w:val="none" w:sz="0" w:space="0" w:color="auto"/>
      </w:divBdr>
    </w:div>
    <w:div w:id="1697611173">
      <w:bodyDiv w:val="1"/>
      <w:marLeft w:val="0"/>
      <w:marRight w:val="0"/>
      <w:marTop w:val="0"/>
      <w:marBottom w:val="0"/>
      <w:divBdr>
        <w:top w:val="none" w:sz="0" w:space="0" w:color="auto"/>
        <w:left w:val="none" w:sz="0" w:space="0" w:color="auto"/>
        <w:bottom w:val="none" w:sz="0" w:space="0" w:color="auto"/>
        <w:right w:val="none" w:sz="0" w:space="0" w:color="auto"/>
      </w:divBdr>
    </w:div>
    <w:div w:id="1965766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ss.mo.gov/fsd/child-care.htm" TargetMode="External"/><Relationship Id="rId5" Type="http://schemas.openxmlformats.org/officeDocument/2006/relationships/footnotes" Target="footnotes.xml"/><Relationship Id="rId10" Type="http://schemas.openxmlformats.org/officeDocument/2006/relationships/hyperlink" Target="mailto:vassb@otc.edu" TargetMode="External"/><Relationship Id="rId4" Type="http://schemas.openxmlformats.org/officeDocument/2006/relationships/webSettings" Target="webSettings.xml"/><Relationship Id="rId9" Type="http://schemas.openxmlformats.org/officeDocument/2006/relationships/hyperlink" Target="mailto:ramona.mundwiller@mccatoda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Photograph / Video Release Form</vt:lpstr>
    </vt:vector>
  </TitlesOfParts>
  <Company/>
  <LinksUpToDate>false</LinksUpToDate>
  <CharactersWithSpaces>9417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 / Video Release Form</dc:title>
  <dc:creator>eForms</dc:creator>
  <cp:keywords>video, release, form, photo</cp:keywords>
  <cp:lastModifiedBy>themundwillers@gmail.com</cp:lastModifiedBy>
  <cp:revision>2</cp:revision>
  <cp:lastPrinted>2019-03-19T14:05:00Z</cp:lastPrinted>
  <dcterms:created xsi:type="dcterms:W3CDTF">2020-09-11T17:04:00Z</dcterms:created>
  <dcterms:modified xsi:type="dcterms:W3CDTF">2020-09-11T17:04:00Z</dcterms:modified>
</cp:coreProperties>
</file>